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ПРАВИЛА ПРОВЕДЕНИЯ СТИМУЛИРУЮЩЕГО МЕРОПРИЯТИЯ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«Бонусная программа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Застройщика»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 ОСНОВНЫЕ ПОЛОЖЕНИЯ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1.1. Наименование стимулирующего мероприятия: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«Бонусная программа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Застройщика»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(далее — «Акция»).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1.2.  Территория проведения Акции: Российская Федерация.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8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1.3.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Акция проводится ООО «Специализированны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застройщик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Эталон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Новосибирск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ИНН 5433978818, ОГРН 1215400036411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которое является организатором Акции (далее — «Организатор»). Место нахождения Организатора: </w:t>
      </w:r>
      <w:r>
        <w:rPr>
          <w:rFonts w:ascii="Times New Roman" w:hAnsi="Times New Roman" w:cs="Times New Roman"/>
          <w:sz w:val="24"/>
          <w:szCs w:val="24"/>
        </w:rPr>
        <w:t xml:space="preserve">Новосибирская область, РП Кольцово, пр-т Никольский, д. 1, офис 608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Организатор является лицом,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построившим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или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осуществляющим строительство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объект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ов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капитального строительства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Счастье в Кольцово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 xml:space="preserve">Новосибирская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р.п</w:t>
      </w:r>
      <w:r>
        <w:rPr>
          <w:rFonts w:ascii="Times New Roman" w:hAnsi="Times New Roman" w:cs="Times New Roman"/>
          <w:sz w:val="24"/>
          <w:szCs w:val="24"/>
        </w:rPr>
        <w:t xml:space="preserve">. Кольцово, микрорайон </w:t>
      </w:r>
      <w:r>
        <w:rPr>
          <w:rFonts w:ascii="Times New Roman" w:hAnsi="Times New Roman" w:cs="Times New Roman"/>
          <w:sz w:val="24"/>
          <w:szCs w:val="24"/>
        </w:rPr>
        <w:t xml:space="preserve">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(далее – Объект/Объекты).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Акция проводится в интересах и за счет средств Организатора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1.4. Цель Акции: привлечение внимания к Организатору, формирование интереса к объектам недвижимости Организатора, увеличения активности покупателей в приобретении квартир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 многоквартирных домах, строящихся (построенных) Организатором,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 договорам, указанным в разделе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3 Правил проведения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Акции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увеличение объема продаж.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1.5. Акция проводится в порядке и на условиях, указанных в настоящих Правилах проведения стимулирующего мероприятия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«Бонусная программа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Застройщика»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(далее — «Правила»). Текст Правил, размещенных на сайте, является публичной офертой (далее —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«Оферта»), адресованной неопределенному кругу лиц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 выраженной в письменной форме.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1.6. Акция не является публичным обещанием награды в смысле гл. 56 Гражданского кодекса Российской Федерации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(ГК РФ)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или публичным конкурсом в смысле гл. 57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ГК РФ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 не является лотереей в смысле Федерального закона от 11.11.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2003 № 138-ФЗ «О лотереях». Участие в Акции бесплатное и проводится в соответствии с настоящими Правилами. Плата за участие в Акции не взимается. Основным условием участия в Акции является выполнение, предусмотренных в разделе 3 настоящих Правил, действий.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Настоящие правила являются офертой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смысле, придаваемой ей ст. 435 ГК РФ.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1.7. Организатор Акции вправе вносить изменения в Правила, уведомив об этом Участников Акции путем размещения актуальной версии Правил на сайте </w:t>
      </w:r>
      <w:hyperlink w:history="1">
        <w:r>
          <w:rPr>
            <w:rStyle w:val="846"/>
            <w:rFonts w:ascii="Times New Roman" w:hAnsi="Times New Roman" w:cs="Times New Roman"/>
            <w:sz w:val="24"/>
            <w:szCs w:val="24"/>
            <w:lang w:eastAsia="ru-RU"/>
          </w:rPr>
          <w:t xml:space="preserve">https://</w:t>
        </w:r>
        <w:r>
          <w:rPr>
            <w:rStyle w:val="846"/>
          </w:rPr>
          <w:t xml:space="preserve"> </w:t>
        </w:r>
        <w:r>
          <w:rPr>
            <w:rStyle w:val="846"/>
            <w:rFonts w:ascii="Times New Roman" w:hAnsi="Times New Roman" w:cs="Times New Roman"/>
            <w:sz w:val="24"/>
            <w:szCs w:val="24"/>
            <w:lang w:eastAsia="ru-RU"/>
          </w:rPr>
          <w:t xml:space="preserve">etalongroup.ru/</w:t>
        </w:r>
        <w:r>
          <w:rPr>
            <w:rStyle w:val="846"/>
            <w:rFonts w:ascii="Times New Roman" w:hAnsi="Times New Roman" w:cs="Times New Roman"/>
            <w:sz w:val="24"/>
            <w:szCs w:val="24"/>
            <w:lang w:eastAsia="ru-RU"/>
          </w:rPr>
          <w:t xml:space="preserve">nsk</w:t>
        </w:r>
        <w:r>
          <w:rPr>
            <w:rStyle w:val="846"/>
            <w:rFonts w:ascii="Times New Roman" w:hAnsi="Times New Roman" w:cs="Times New Roman"/>
            <w:sz w:val="24"/>
            <w:szCs w:val="24"/>
            <w:lang w:eastAsia="ru-RU"/>
          </w:rPr>
          <w:t xml:space="preserve">/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Срок акцепта настоящих Правил составляет не менее 30 календарных дней с даты начала действия данной Акции и публикации Правил на сайте </w:t>
      </w:r>
      <w:hyperlink r:id="rId9" w:tooltip="https://etalongroup.ru/nsk" w:history="1">
        <w:r>
          <w:rPr>
            <w:rStyle w:val="846"/>
            <w:rFonts w:ascii="Times New Roman" w:hAnsi="Times New Roman" w:cs="Times New Roman"/>
            <w:sz w:val="24"/>
            <w:szCs w:val="24"/>
          </w:rPr>
          <w:t xml:space="preserve">https://etalongroup.ru/nsk</w:t>
        </w:r>
      </w:hyperlink>
      <w:r>
        <w:rPr>
          <w:rFonts w:ascii="Times New Roman" w:hAnsi="Times New Roman" w:cs="Times New Roman"/>
          <w:color w:val="0070c0"/>
          <w:sz w:val="24"/>
          <w:szCs w:val="24"/>
        </w:rPr>
        <w:t xml:space="preserve">/</w:t>
      </w:r>
      <w:r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color w:val="0070c0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0070c0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1.8.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Сочетание 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анн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Акци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 другими акциями и скидками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определяет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Организатор.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1.9.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Действующая редакция настоящих Правил (Оферты) доступна на сайте </w:t>
      </w:r>
      <w:hyperlink w:history="1">
        <w:r>
          <w:t xml:space="preserve"> </w:t>
        </w:r>
        <w:r>
          <w:rPr>
            <w:rStyle w:val="846"/>
            <w:rFonts w:ascii="Times New Roman" w:hAnsi="Times New Roman" w:cs="Times New Roman"/>
            <w:sz w:val="24"/>
            <w:szCs w:val="24"/>
            <w:lang w:eastAsia="ru-RU"/>
          </w:rPr>
          <w:t xml:space="preserve">https://etalongroup.ru/nsk/</w:t>
        </w:r>
        <w:r>
          <w:rPr>
            <w:rStyle w:val="846"/>
            <w:rFonts w:ascii="Times New Roman" w:hAnsi="Times New Roman" w:cs="Times New Roman"/>
            <w:sz w:val="24"/>
            <w:szCs w:val="24"/>
            <w:lang w:eastAsia="ru-RU"/>
          </w:rPr>
          <w:t xml:space="preserve">/</w:t>
        </w:r>
      </w:hyperlink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 ТЕРМИНЫ И ОПРЕДЕЛЕНИЯ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 Участник Акции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— любое дееспособное физическое лицо,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выразившее согласие на приобретение квартиры, указанной в Приложении 1,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которому на момент участия в Акции исполнилось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Двадцать один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имеющее гражданство РФ,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использующее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приобретения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квартиры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собственные и/или кредитные денежные средства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 исключением средств полагающихся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лицу 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накопительн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-ипотечн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жилищного обеспечения военнослужащих, государственн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сертификат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 материнский (семейный) капитал, сертификат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предоставляющи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жилищную субсидию/социальную выплату/компенсационную выплату, и допущенные Организатором к участию в Акции в соответствии с настоящими Правилами.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Квартира, участвующая в Акции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— любая из квартир, находящаяся в свободной продаже (далее по тексту — Квартира).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Договор участия в долевом строительстве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— договор приобретения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строящейся Квартиры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форма которого установлена застройщиком с учетом требований действующего законодательства Российской Федерации, заключаемый Участником Акции с Организатором, подлежащий государственной регистрации и считающийся заключенным с момента такой регистрации.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Договор купли-продажи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договор приобретения построенно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й Квартиры, форма которого установлена застройщиком с учетом требований действующего законодательства Российской Федерации, заключаемый Участником Акции с Организатором, являющийся основанием для государственной регистрации перехода права собственности на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вартиру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покупателя и считающийся заключенным с момента его подписания.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Дисконтная карта Участника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— виртуальная (электронная) карта, служащая для идентификации Участника Акции в программе, начислени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/списании Баллов (далее по тексту — Дисконтная карта Участника). Дисконтная карта Участника выпускается Организатором Акции единожды и размещается в личном кабинете Участника Акции на сайте </w:t>
      </w:r>
      <w:hyperlink r:id="rId10" w:tooltip="https://etalongroup.ru/nsk/" w:history="1">
        <w:r>
          <w:rPr>
            <w:rStyle w:val="846"/>
            <w:rFonts w:ascii="Times New Roman" w:hAnsi="Times New Roman" w:cs="Times New Roman"/>
            <w:sz w:val="24"/>
            <w:szCs w:val="24"/>
            <w:lang w:eastAsia="ru-RU"/>
          </w:rPr>
          <w:t xml:space="preserve">https://etalongroup.ru/nsk/</w:t>
        </w:r>
      </w:hyperlink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Баллы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— название условных единиц, характеризующих активность Участников Акции, в которых ведется счет: 1 балл = 1 рубль.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Счет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— счет, указанный клиентом в поручении для перечисления Баллов.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ПРАВИЛА АКЦИИ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 Для участия в Акции в период с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2025 г. по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июня</w:t>
      </w:r>
      <w:r/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(включительно) необходимо: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3.1.1.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Акцептовать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подписать заявление о присоединение к акции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«Бонусная программа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Застройщика»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участие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 Акции на предложенных в настоящих Правилах условиях на сайте </w:t>
      </w:r>
      <w:hyperlink r:id="rId11" w:tooltip="https://etalongroup.ru/nsk/" w:history="1">
        <w:r>
          <w:rPr>
            <w:rStyle w:val="846"/>
            <w:rFonts w:ascii="Times New Roman" w:hAnsi="Times New Roman" w:cs="Times New Roman"/>
            <w:sz w:val="24"/>
            <w:szCs w:val="24"/>
            <w:lang w:eastAsia="ru-RU"/>
          </w:rPr>
          <w:t xml:space="preserve">https://etalongroup.ru/</w:t>
        </w:r>
        <w:r>
          <w:rPr>
            <w:rStyle w:val="846"/>
            <w:rFonts w:ascii="Times New Roman" w:hAnsi="Times New Roman" w:cs="Times New Roman"/>
            <w:sz w:val="24"/>
            <w:szCs w:val="24"/>
            <w:lang w:val="en-US" w:eastAsia="ru-RU"/>
          </w:rPr>
          <w:t xml:space="preserve">n</w:t>
        </w:r>
        <w:r>
          <w:rPr>
            <w:rStyle w:val="846"/>
            <w:rFonts w:ascii="Times New Roman" w:hAnsi="Times New Roman" w:cs="Times New Roman"/>
            <w:sz w:val="24"/>
            <w:szCs w:val="24"/>
            <w:lang w:eastAsia="ru-RU"/>
          </w:rPr>
          <w:t xml:space="preserve">sk</w:t>
        </w:r>
        <w:r>
          <w:rPr>
            <w:rStyle w:val="846"/>
            <w:rFonts w:ascii="Times New Roman" w:hAnsi="Times New Roman" w:cs="Times New Roman"/>
            <w:sz w:val="24"/>
            <w:szCs w:val="24"/>
            <w:lang w:eastAsia="ru-RU"/>
          </w:rPr>
          <w:t xml:space="preserve">/</w:t>
        </w:r>
      </w:hyperlink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 получить Дисконтную карту Участника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электронный адрес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частника.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3.1.2.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Забронировать Квартиру на период выполнения Участником Акции условий Правил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3.1.3.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Подать заявку на одобрение ипотеки в банке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-партнере Организатора Акции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через менеджера отдела ипотеки в офисе продаж Организатора Акции.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перечнем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банков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-партнеров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в которых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получается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одобрение ипотечного кредита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 Акции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озн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мливается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самостоятельно и заблаговременно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3.1.4. Заключить кредитный договор, предметом которого является предоставление кредита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целей оплаты цены Договора участия долевого участия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Договора купли-продажи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указанного в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3.1.7. настоящих Правил;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3.1.5. Предоставить документы, подтверждающие выдачу кредита, указанного в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3.1.4. настоящих Правил, на аккредитивный счет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/номинальный счет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3.1.6. Выдать поручение Организатору на перечисление баллов в денежном эквиваленте на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Счет, по форме, установленной Организатором;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3.1.7. Заключить Договор участия в долевом строительстве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(Договор купли-продажи)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люб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ю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Квартиру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расположенную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Объекте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3.2.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Выполнением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Правил Акции является выполнение пункта 3.1. настоящего раздела Правил.  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Принимая Правила Акции, в соответствии с пунктом 3.1. настоящего раздела Правил, Участник Акции соглашается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 выпуск Организатором Акции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дисконтной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арты Участника в соответствии с настоящими Правилами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3.4. При соблюдении условий, установленных в п. 3.1. Правил, Организатор Акции начисляет Участнику Акции Баллы в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сумме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%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Тридцати процентов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цены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договора приобретения,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из расчета 1 Балл = 1 рубль.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Максимальное количество баллов</w:t>
      </w:r>
      <w:r>
        <w:rPr>
          <w:rFonts w:ascii="Times New Roman" w:hAnsi="Times New Roman" w:cs="Times New Roman"/>
          <w:b/>
          <w:sz w:val="24"/>
          <w:szCs w:val="24"/>
        </w:rPr>
        <w:t xml:space="preserve"> 4 999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999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По поручению Участника Акции</w:t>
      </w:r>
      <w:r>
        <w:rPr>
          <w:rFonts w:ascii="Times New Roman" w:hAnsi="Times New Roman" w:cs="Times New Roman"/>
          <w:sz w:val="24"/>
          <w:szCs w:val="24"/>
        </w:rPr>
        <w:t xml:space="preserve"> начисленные баллы</w:t>
      </w:r>
      <w:r>
        <w:rPr>
          <w:rFonts w:ascii="Times New Roman" w:hAnsi="Times New Roman" w:cs="Times New Roman"/>
          <w:sz w:val="24"/>
          <w:szCs w:val="24"/>
        </w:rPr>
        <w:t xml:space="preserve"> после конвертации переводятся на Счет</w:t>
      </w:r>
      <w:r>
        <w:rPr>
          <w:rFonts w:ascii="Times New Roman" w:hAnsi="Times New Roman" w:cs="Times New Roman"/>
          <w:sz w:val="24"/>
          <w:szCs w:val="24"/>
        </w:rPr>
        <w:t xml:space="preserve"> участника по реквизитам, указанным в заявлении о присоединении к правилам акции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3.5.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рганизатор на основании поручения Участника Акции принимает на себя обязательство перечислить денежные средства на Счет в размере рублевого эквивалента начисленным Баллам (далее по тексту может упоминаться как «выплата (списание) баллов в денежной форме»).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3.6. Баллы выплачиваются (списываются) в денежной форме единоразово, единым платежом не позднее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15 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календарных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дней после заключения Договора участия в долевом строительстве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или регистрации перехода права собственности на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Квартиру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в случае заключения Участником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Договора купли-продажи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Выплата (списание) Баллов частями не допускается.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3.7. В случае расторжения Договора участия в долевом строительстве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Договора купли-продажи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выплата (списание) Баллов не производится.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3.8. В случае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прекращения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расторжения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Договора участия в долевом строительстве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Договора купли-продажи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любым причинам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после выплаты (списания) Баллов, Организатор вправе требовать возврата выплаты. Возврат выплаты осуществляется на банковский счет Организатора, указанный в договоре участия в долевом строительстве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Договоре купли-продажи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3.9. В случае если на момент выплаты (списания) Счет для перечисления Баллов является закрытым или находится в любом другом состоянии, препятствующем Организатору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Акции произвести выплату (списание), Участник Акции исключается из Акции и не получает выплату.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3.10. В случае приобретения Квартиры в общую совместную собственность или долевую собственность Участником Акции становится тот, </w:t>
      </w:r>
      <w:r>
        <w:rPr>
          <w:rFonts w:ascii="Times New Roman" w:hAnsi="Times New Roman" w:cs="Times New Roman"/>
          <w:sz w:val="24"/>
          <w:szCs w:val="24"/>
        </w:rPr>
        <w:t xml:space="preserve">которому выдан ипотечный кредит на приобретение Квартиры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3.11. Участник Акции может принимать участие в Акции единожды.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ПРАВИЛА ИСПОЛЬЗОВАНИЯ ДИСКОНТНОЙ КАРТЫ УЧАСТНИКА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</w:t>
      </w:r>
      <w:bookmarkStart w:id="1" w:name="_Hlk209447341"/>
      <w:r>
        <w:rPr>
          <w:rFonts w:ascii="Times New Roman" w:hAnsi="Times New Roman" w:cs="Times New Roman"/>
          <w:sz w:val="24"/>
          <w:szCs w:val="24"/>
          <w:lang w:eastAsia="ru-RU"/>
        </w:rPr>
        <w:t xml:space="preserve">4.1. Дисконтная карта Участника не имеет пластикового носителя и направляется Участнику по электронной почте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указанной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заявлении участника о присоединении к Правилам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 </w:t>
      </w:r>
      <w:bookmarkEnd w:id="1"/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4.2. Дисконтная карта Участника автоматически выпускается Организатором Акции Участнику Акции в момент акцепта Правил Акции Участником Акции. Дисконтная карта Участника активируется в момент выпуска и становится доступна.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4.3. Участник Акции является держателем Дисконтной карты Участника, ее нельзя продать, подарить или передать в пользование третьим лицам иным способом, в том числе посредством сети «Интернет».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4.4. В случае списания Баллов в денеж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ной форме в результате получения третьими лицами доступа к Дисконтной карте Участника (в том числе по инициативе Участника Акции), а также в результате недобросовестных действий Участника Акции и/или третьих лиц, списанные Баллы не подлежат восстановлению.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4.5. На одного Участника Акции может быть выпущена только одна Дисконтная карта Участника.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4.6. Дисконтная карта Участника не является кредитной или платежной картой.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4.7. Дисконтная карта Участника действует в течение срока действия Акции или до любой другой даты прекращения действия, установленной в соответствии с Акцией.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ПРОЧИЕ УСЛОВИЯ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5.1. Срок проведения Акции с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2025 г. по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июня</w:t>
      </w:r>
      <w:r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г.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включительно без учёта предоставления выплаты. Срок проведения Акции может быть продлен по решению Организатора Акции. Организатор Акции не вправе отозвать оферту до истечения обозначенного срока.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5.2. Организатор принимает на себя обязательство перечислить денежные средства на Счет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размере рублевого эквивалента начисленным баллам. В соответствии с п. 68 ст. 217 НК РФ начисление Баллов, выплата (списание), а также перечисление денежного эквивалента   на счет Участника Акции в порядке и на условиях настоящих Правил не облагается НДФЛ.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5.4. Срок акцепта настоящих Правил составляет не менее 30 календарных дней с даты начала действия данной Акции публикации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текста Акции на сайте </w:t>
      </w:r>
      <w:hyperlink w:history="1">
        <w:r>
          <w:rPr>
            <w:rStyle w:val="846"/>
            <w:rFonts w:ascii="Times New Roman" w:hAnsi="Times New Roman" w:cs="Times New Roman"/>
            <w:sz w:val="24"/>
            <w:szCs w:val="24"/>
            <w:lang w:eastAsia="ru-RU"/>
          </w:rPr>
          <w:t xml:space="preserve">https://</w:t>
        </w:r>
        <w:r>
          <w:rPr>
            <w:rStyle w:val="846"/>
          </w:rPr>
          <w:t xml:space="preserve"> </w:t>
        </w:r>
        <w:r>
          <w:rPr>
            <w:rStyle w:val="846"/>
            <w:rFonts w:ascii="Times New Roman" w:hAnsi="Times New Roman" w:cs="Times New Roman"/>
            <w:sz w:val="24"/>
            <w:szCs w:val="24"/>
            <w:lang w:eastAsia="ru-RU"/>
          </w:rPr>
          <w:t xml:space="preserve">https://etalongroup.ru/</w:t>
        </w:r>
        <w:r>
          <w:rPr>
            <w:rStyle w:val="846"/>
            <w:rFonts w:ascii="Times New Roman" w:hAnsi="Times New Roman" w:cs="Times New Roman"/>
            <w:sz w:val="24"/>
            <w:szCs w:val="24"/>
            <w:lang w:val="en-US" w:eastAsia="ru-RU"/>
          </w:rPr>
          <w:t xml:space="preserve">n</w:t>
        </w:r>
        <w:r>
          <w:rPr>
            <w:rStyle w:val="846"/>
            <w:rFonts w:ascii="Times New Roman" w:hAnsi="Times New Roman" w:cs="Times New Roman"/>
            <w:sz w:val="24"/>
            <w:szCs w:val="24"/>
            <w:lang w:eastAsia="ru-RU"/>
          </w:rPr>
          <w:t xml:space="preserve">sk</w:t>
        </w:r>
        <w:r>
          <w:rPr>
            <w:rStyle w:val="846"/>
            <w:rFonts w:ascii="Times New Roman" w:hAnsi="Times New Roman" w:cs="Times New Roman"/>
            <w:sz w:val="24"/>
            <w:szCs w:val="24"/>
            <w:lang w:eastAsia="ru-RU"/>
          </w:rPr>
          <w:t xml:space="preserve">//</w:t>
        </w:r>
      </w:hyperlink>
      <w:r>
        <w:rPr>
          <w:rStyle w:val="846"/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несоблюдении и/или нарушении Правил настоящей Акции, а также обнаружении недобросовестности в действиях Участника Акции Организатор Акции оставляет за собой право не производить выплаты без уведомления и объяснения причин такому Участнику Акции.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5.5. Организа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тор Акции не несет ответственность за неисполнение либо ненадлежащее исполнение своих обязательств перед Участниками Акции вследствие сбоев в телекоммуникационных и энергетических сетях, действий вредоносных программ, недобросовестных действий третьих лиц.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5.6. Организатор Акции не несёт ответственность за невозможность перечисления Баллов Участника Акции на Счет для перечисления Баллов Участника Акции, указанный в представленных реквизитах, в случае его блокировок и закрытия.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5.7. Окончание срока действия Акции влечет прекращение обязательств Организатора предоставлять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«Бонусная программа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Застройщика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Участникам Акции.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1"/>
    <w:link w:val="830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9"/>
    <w:next w:val="829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1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9"/>
    <w:next w:val="829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1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9"/>
    <w:next w:val="829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1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9"/>
    <w:next w:val="829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1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9"/>
    <w:next w:val="829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1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9"/>
    <w:next w:val="829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1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9"/>
    <w:next w:val="829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1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9"/>
    <w:next w:val="829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1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9"/>
    <w:uiPriority w:val="34"/>
    <w:qFormat/>
    <w:pPr>
      <w:contextualSpacing/>
      <w:ind w:left="720"/>
    </w:pPr>
  </w:style>
  <w:style w:type="paragraph" w:styleId="672">
    <w:name w:val="Title"/>
    <w:basedOn w:val="829"/>
    <w:next w:val="829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31"/>
    <w:link w:val="672"/>
    <w:uiPriority w:val="10"/>
    <w:rPr>
      <w:sz w:val="48"/>
      <w:szCs w:val="48"/>
    </w:rPr>
  </w:style>
  <w:style w:type="paragraph" w:styleId="674">
    <w:name w:val="Subtitle"/>
    <w:basedOn w:val="829"/>
    <w:next w:val="829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31"/>
    <w:link w:val="674"/>
    <w:uiPriority w:val="11"/>
    <w:rPr>
      <w:sz w:val="24"/>
      <w:szCs w:val="24"/>
    </w:rPr>
  </w:style>
  <w:style w:type="paragraph" w:styleId="676">
    <w:name w:val="Quote"/>
    <w:basedOn w:val="829"/>
    <w:next w:val="829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9"/>
    <w:next w:val="829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29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31"/>
    <w:link w:val="680"/>
    <w:uiPriority w:val="99"/>
  </w:style>
  <w:style w:type="paragraph" w:styleId="682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basedOn w:val="831"/>
    <w:link w:val="682"/>
    <w:uiPriority w:val="99"/>
  </w:style>
  <w:style w:type="paragraph" w:styleId="684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1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1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paragraph" w:styleId="830">
    <w:name w:val="Heading 1"/>
    <w:basedOn w:val="829"/>
    <w:link w:val="834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 w:customStyle="1">
    <w:name w:val="Заголовок 1 Знак"/>
    <w:basedOn w:val="831"/>
    <w:link w:val="83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35">
    <w:name w:val="Normal (Web)"/>
    <w:basedOn w:val="8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6">
    <w:name w:val="Strong"/>
    <w:basedOn w:val="831"/>
    <w:uiPriority w:val="22"/>
    <w:qFormat/>
    <w:rPr>
      <w:b/>
      <w:bCs/>
    </w:rPr>
  </w:style>
  <w:style w:type="character" w:styleId="837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38">
    <w:name w:val="annotation text"/>
    <w:basedOn w:val="829"/>
    <w:link w:val="839"/>
    <w:uiPriority w:val="99"/>
    <w:unhideWhenUsed/>
    <w:pPr>
      <w:spacing w:line="240" w:lineRule="auto"/>
    </w:pPr>
    <w:rPr>
      <w:sz w:val="20"/>
      <w:szCs w:val="20"/>
    </w:rPr>
  </w:style>
  <w:style w:type="character" w:styleId="839" w:customStyle="1">
    <w:name w:val="Текст примечания Знак"/>
    <w:basedOn w:val="831"/>
    <w:link w:val="838"/>
    <w:uiPriority w:val="99"/>
    <w:rPr>
      <w:sz w:val="20"/>
      <w:szCs w:val="20"/>
    </w:rPr>
  </w:style>
  <w:style w:type="paragraph" w:styleId="840">
    <w:name w:val="annotation subject"/>
    <w:basedOn w:val="838"/>
    <w:next w:val="838"/>
    <w:link w:val="841"/>
    <w:uiPriority w:val="99"/>
    <w:semiHidden/>
    <w:unhideWhenUsed/>
    <w:rPr>
      <w:b/>
      <w:bCs/>
    </w:rPr>
  </w:style>
  <w:style w:type="character" w:styleId="841" w:customStyle="1">
    <w:name w:val="Тема примечания Знак"/>
    <w:basedOn w:val="839"/>
    <w:link w:val="840"/>
    <w:uiPriority w:val="99"/>
    <w:semiHidden/>
    <w:rPr>
      <w:b/>
      <w:bCs/>
      <w:sz w:val="20"/>
      <w:szCs w:val="20"/>
    </w:rPr>
  </w:style>
  <w:style w:type="paragraph" w:styleId="842">
    <w:name w:val="Balloon Text"/>
    <w:basedOn w:val="829"/>
    <w:link w:val="84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1"/>
    <w:link w:val="842"/>
    <w:uiPriority w:val="99"/>
    <w:semiHidden/>
    <w:rPr>
      <w:rFonts w:ascii="Segoe UI" w:hAnsi="Segoe UI" w:cs="Segoe UI"/>
      <w:sz w:val="18"/>
      <w:szCs w:val="18"/>
    </w:rPr>
  </w:style>
  <w:style w:type="paragraph" w:styleId="844">
    <w:name w:val="No Spacing"/>
    <w:uiPriority w:val="1"/>
    <w:qFormat/>
    <w:pPr>
      <w:spacing w:after="0" w:line="240" w:lineRule="auto"/>
    </w:pPr>
  </w:style>
  <w:style w:type="paragraph" w:styleId="845">
    <w:name w:val="Revision"/>
    <w:hidden/>
    <w:uiPriority w:val="99"/>
    <w:semiHidden/>
    <w:pPr>
      <w:spacing w:after="0" w:line="240" w:lineRule="auto"/>
    </w:pPr>
  </w:style>
  <w:style w:type="character" w:styleId="846">
    <w:name w:val="Hyperlink"/>
    <w:basedOn w:val="831"/>
    <w:uiPriority w:val="99"/>
    <w:unhideWhenUsed/>
    <w:rPr>
      <w:color w:val="0563c1" w:themeColor="hyperlink"/>
      <w:u w:val="single"/>
    </w:rPr>
  </w:style>
  <w:style w:type="character" w:styleId="847">
    <w:name w:val="Unresolved Mention"/>
    <w:basedOn w:val="83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etalongroup.ru/nsk" TargetMode="External"/><Relationship Id="rId10" Type="http://schemas.openxmlformats.org/officeDocument/2006/relationships/hyperlink" Target="https://etalongroup.ru/nsk/" TargetMode="External"/><Relationship Id="rId11" Type="http://schemas.openxmlformats.org/officeDocument/2006/relationships/hyperlink" Target="https://etalongroup.ru/nsk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421F1-AD4F-45AA-AAE0-267541A5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Etalon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Иушина Анна Викторовна</dc:creator>
  <cp:keywords/>
  <dc:description/>
  <cp:lastModifiedBy>Диана Мойся</cp:lastModifiedBy>
  <cp:revision>112</cp:revision>
  <dcterms:created xsi:type="dcterms:W3CDTF">2025-10-02T09:00:00Z</dcterms:created>
  <dcterms:modified xsi:type="dcterms:W3CDTF">2026-05-29T08:38:33Z</dcterms:modified>
</cp:coreProperties>
</file>