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6BFE1" w14:textId="77777777" w:rsidR="00F71B11" w:rsidRPr="005E6BB3" w:rsidRDefault="00F71B11" w:rsidP="005F76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49BD4BC" w14:textId="77777777" w:rsidR="00191C93" w:rsidRPr="005F76ED" w:rsidRDefault="00191C93" w:rsidP="005F76E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ПРАВИЛА ПРОВЕДЕНИЯ СТИМУЛИРУЮЩЕГО МЕРОПРИЯТИЯ</w:t>
      </w:r>
    </w:p>
    <w:p w14:paraId="293CFA67" w14:textId="77777777" w:rsidR="00F71B11" w:rsidRPr="005F76ED" w:rsidRDefault="00191C93" w:rsidP="005F76ED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«Бонусная программа </w:t>
      </w:r>
      <w:r w:rsidR="00B12AEA" w:rsidRPr="005F76ED">
        <w:rPr>
          <w:rFonts w:ascii="Times New Roman" w:hAnsi="Times New Roman" w:cs="Times New Roman"/>
          <w:b/>
          <w:sz w:val="24"/>
          <w:szCs w:val="24"/>
          <w:lang w:eastAsia="ru-RU"/>
        </w:rPr>
        <w:t>Застройщика»</w:t>
      </w:r>
    </w:p>
    <w:p w14:paraId="1E88FBB5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082CFEC9" w14:textId="77777777" w:rsidR="00191C93" w:rsidRPr="005F76ED" w:rsidRDefault="00191C93" w:rsidP="00635A0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ОСНОВНЫЕ ПОЛОЖЕНИЯ</w:t>
      </w:r>
    </w:p>
    <w:p w14:paraId="4137290E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1.1. Наименование стимулирующего мероприятия: </w:t>
      </w:r>
      <w:r w:rsidR="00023DF7"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«Бонусная программа </w:t>
      </w:r>
      <w:r w:rsidR="00023DF7" w:rsidRPr="005F76ED">
        <w:rPr>
          <w:rFonts w:ascii="Times New Roman" w:hAnsi="Times New Roman" w:cs="Times New Roman"/>
          <w:b/>
          <w:sz w:val="24"/>
          <w:szCs w:val="24"/>
          <w:lang w:eastAsia="ru-RU"/>
        </w:rPr>
        <w:t>Застройщика»</w:t>
      </w:r>
      <w:r w:rsidR="00023DF7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(далее — «Акция»).</w:t>
      </w:r>
    </w:p>
    <w:p w14:paraId="7C2ED539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1.2.  Территория проведения Акции: Российская Федерация.</w:t>
      </w:r>
    </w:p>
    <w:p w14:paraId="2BB6F56D" w14:textId="727AF805" w:rsidR="00A66CB4" w:rsidRPr="00FD6359" w:rsidRDefault="00191C93" w:rsidP="00A66CB4">
      <w:pPr>
        <w:pStyle w:val="ac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1.3. </w:t>
      </w:r>
      <w:r w:rsidRPr="00965C78">
        <w:rPr>
          <w:rFonts w:ascii="Times New Roman" w:hAnsi="Times New Roman" w:cs="Times New Roman"/>
          <w:sz w:val="24"/>
          <w:szCs w:val="24"/>
          <w:lang w:eastAsia="ru-RU"/>
        </w:rPr>
        <w:t>Акция проводится ООО «Специализированны</w:t>
      </w:r>
      <w:r w:rsidR="00D83B37" w:rsidRPr="00965C78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965C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737" w:rsidRPr="00965C78">
        <w:rPr>
          <w:rFonts w:ascii="Times New Roman" w:hAnsi="Times New Roman" w:cs="Times New Roman"/>
          <w:sz w:val="24"/>
          <w:szCs w:val="24"/>
          <w:lang w:eastAsia="ru-RU"/>
        </w:rPr>
        <w:t>застройщик</w:t>
      </w:r>
      <w:r w:rsidR="00D83B37" w:rsidRPr="00965C78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5E6BB3" w:rsidRPr="00965C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3B37" w:rsidRPr="00965C7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5E6BB3" w:rsidRPr="00965C78">
        <w:rPr>
          <w:rFonts w:ascii="Times New Roman" w:hAnsi="Times New Roman" w:cs="Times New Roman"/>
          <w:sz w:val="24"/>
          <w:szCs w:val="24"/>
          <w:lang w:eastAsia="ru-RU"/>
        </w:rPr>
        <w:t xml:space="preserve">Эталон </w:t>
      </w:r>
      <w:r w:rsidR="008B644C">
        <w:rPr>
          <w:rFonts w:ascii="Times New Roman" w:hAnsi="Times New Roman" w:cs="Times New Roman"/>
          <w:sz w:val="24"/>
          <w:szCs w:val="24"/>
          <w:lang w:eastAsia="ru-RU"/>
        </w:rPr>
        <w:t>Екатеринбург</w:t>
      </w:r>
      <w:r w:rsidRPr="00965C78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r w:rsidR="008B644C" w:rsidRPr="008B644C">
        <w:rPr>
          <w:rFonts w:ascii="Times New Roman" w:hAnsi="Times New Roman" w:cs="Times New Roman"/>
          <w:sz w:val="24"/>
          <w:szCs w:val="24"/>
        </w:rPr>
        <w:t>ОГРН 1217800171137, ИНН 7814799956</w:t>
      </w:r>
      <w:r w:rsidR="000466AD" w:rsidRPr="00965C7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65C7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65C78">
        <w:rPr>
          <w:rFonts w:ascii="Times New Roman" w:hAnsi="Times New Roman" w:cs="Times New Roman"/>
          <w:sz w:val="24"/>
          <w:szCs w:val="24"/>
          <w:lang w:eastAsia="ru-RU"/>
        </w:rPr>
        <w:t xml:space="preserve">которое является организатором Акции (далее — «Организатор»). Место нахождения Организатора: </w:t>
      </w:r>
      <w:r w:rsidR="008B644C" w:rsidRPr="008B644C">
        <w:rPr>
          <w:rFonts w:ascii="Times New Roman" w:hAnsi="Times New Roman" w:cs="Times New Roman"/>
          <w:sz w:val="24"/>
          <w:szCs w:val="24"/>
        </w:rPr>
        <w:t xml:space="preserve">620091, Свердловская область, </w:t>
      </w:r>
      <w:proofErr w:type="spellStart"/>
      <w:r w:rsidR="008B644C" w:rsidRPr="008B644C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8B644C" w:rsidRPr="008B644C">
        <w:rPr>
          <w:rFonts w:ascii="Times New Roman" w:hAnsi="Times New Roman" w:cs="Times New Roman"/>
          <w:sz w:val="24"/>
          <w:szCs w:val="24"/>
        </w:rPr>
        <w:t>. город Екатеринбург, г. Екатеринбург, ул. Красных Командиров, д. 23, офис 201</w:t>
      </w:r>
      <w:r w:rsidRPr="00965C7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4700C" w:rsidRPr="00965C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Организатор является лицом, </w:t>
      </w:r>
      <w:r w:rsidR="0091630A" w:rsidRPr="00965C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построившим </w:t>
      </w:r>
      <w:r w:rsidR="0024700C" w:rsidRPr="00965C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или </w:t>
      </w:r>
      <w:r w:rsidR="0091630A" w:rsidRPr="00965C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осуществляющим строительство </w:t>
      </w:r>
      <w:r w:rsidR="0024700C" w:rsidRPr="00965C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объект</w:t>
      </w:r>
      <w:r w:rsidR="0091630A" w:rsidRPr="00965C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24700C" w:rsidRPr="00965C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капитального строительства</w:t>
      </w:r>
      <w:r w:rsidR="0024700C" w:rsidRPr="00965C7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66CB4" w:rsidRPr="00965C78">
        <w:rPr>
          <w:rFonts w:ascii="Times New Roman" w:hAnsi="Times New Roman" w:cs="Times New Roman"/>
          <w:sz w:val="24"/>
          <w:szCs w:val="24"/>
          <w:lang w:eastAsia="ru-RU"/>
        </w:rPr>
        <w:t xml:space="preserve"> Объект</w:t>
      </w:r>
      <w:r w:rsidR="00531651" w:rsidRPr="00965C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0BCC" w:rsidRPr="00965C78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75099E">
        <w:rPr>
          <w:rFonts w:ascii="Times New Roman" w:hAnsi="Times New Roman" w:cs="Times New Roman"/>
          <w:b/>
          <w:sz w:val="24"/>
          <w:szCs w:val="24"/>
          <w:lang w:eastAsia="ru-RU"/>
        </w:rPr>
        <w:t>Солнечный</w:t>
      </w:r>
      <w:r w:rsidR="00CF0BCC" w:rsidRPr="00965C78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A66CB4" w:rsidRPr="00965C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1CDE" w:rsidRPr="00965C78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B644C" w:rsidRPr="008B644C">
        <w:rPr>
          <w:rFonts w:ascii="Times New Roman" w:hAnsi="Times New Roman" w:cs="Times New Roman"/>
          <w:sz w:val="24"/>
          <w:szCs w:val="24"/>
        </w:rPr>
        <w:t xml:space="preserve">Свердловская область, г. Екатеринбург, ул. Чемпионов </w:t>
      </w:r>
      <w:r w:rsidR="00A66CB4" w:rsidRPr="008B644C">
        <w:rPr>
          <w:rFonts w:ascii="Times New Roman" w:hAnsi="Times New Roman" w:cs="Times New Roman"/>
          <w:sz w:val="24"/>
          <w:szCs w:val="24"/>
        </w:rPr>
        <w:t>(далее</w:t>
      </w:r>
      <w:r w:rsidR="00A66CB4" w:rsidRPr="00965C78">
        <w:rPr>
          <w:rFonts w:ascii="Times New Roman" w:hAnsi="Times New Roman" w:cs="Times New Roman"/>
          <w:sz w:val="24"/>
          <w:szCs w:val="24"/>
        </w:rPr>
        <w:t xml:space="preserve"> – Объект/Объекты).</w:t>
      </w:r>
    </w:p>
    <w:p w14:paraId="24F22B0B" w14:textId="77777777" w:rsidR="00E60446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359">
        <w:rPr>
          <w:rFonts w:ascii="Times New Roman" w:hAnsi="Times New Roman" w:cs="Times New Roman"/>
          <w:sz w:val="24"/>
          <w:szCs w:val="24"/>
          <w:lang w:eastAsia="ru-RU"/>
        </w:rPr>
        <w:t>Акция проводится в интересах и за счет средств Организатора</w:t>
      </w:r>
      <w:r w:rsidR="00D932EB" w:rsidRPr="005F76E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96A13AB" w14:textId="71350312" w:rsidR="0024700C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1.4. Цель Акции: привлечение внимания к Организатору, формирование интереса к объектам недвижимости Организатора, увеличения активности покупателей в приобретении квартир </w:t>
      </w:r>
      <w:r w:rsidR="00FB0981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в многоквартирных домах, строящихся (построенных) Организатором, 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по договорам, указанным в разделе</w:t>
      </w:r>
      <w:r w:rsidR="001D22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3 Правил проведения </w:t>
      </w:r>
      <w:r w:rsidR="00AA232E" w:rsidRPr="005F76ED">
        <w:rPr>
          <w:rFonts w:ascii="Times New Roman" w:hAnsi="Times New Roman" w:cs="Times New Roman"/>
          <w:sz w:val="24"/>
          <w:szCs w:val="24"/>
          <w:lang w:eastAsia="ru-RU"/>
        </w:rPr>
        <w:t>Акции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, увеличение объема продаж.</w:t>
      </w:r>
      <w:r w:rsidR="0024700C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5817CAE" w14:textId="08DFBE94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1.5. Акция проводится в порядке и на условиях, указанных в настоящих Правилах проведения стимулирующего мероприятия </w:t>
      </w:r>
      <w:r w:rsidR="00023DF7"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«Бонусная программа </w:t>
      </w:r>
      <w:r w:rsidR="00023DF7" w:rsidRPr="005F76ED">
        <w:rPr>
          <w:rFonts w:ascii="Times New Roman" w:hAnsi="Times New Roman" w:cs="Times New Roman"/>
          <w:b/>
          <w:sz w:val="24"/>
          <w:szCs w:val="24"/>
          <w:lang w:eastAsia="ru-RU"/>
        </w:rPr>
        <w:t>Застройщика»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(далее — «Правила»). Текст Правил, размещенных на сайте, является публичной офертой (далее —«Оферта»), адресованной неопределенному кругу лиц</w:t>
      </w:r>
      <w:r w:rsidR="00D83B3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и выраженной в письменной форме.</w:t>
      </w:r>
    </w:p>
    <w:p w14:paraId="03991F44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1.6. Акция не является публичным обещанием награды в смысле гл. 56 Гражданского кодекса Российской Федерации </w:t>
      </w:r>
      <w:r w:rsidR="005D645B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(ГК РФ) 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или публичным конкурсом в смысле гл. 57 </w:t>
      </w:r>
      <w:r w:rsidR="005D645B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ГК РФ 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и не является лотереей в смысле Федерального закона от 11.11.2003 № 138-ФЗ «О лотереях». Участие в Акции бесплатное и проводится в соответствии с настоящими Правилами. Плата за участие в Акции не взимается. Основным условием участия в Акции является выполнение, предусмотренных в разделе 3 настоящих Правил, действий.</w:t>
      </w:r>
      <w:r w:rsidR="00955385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Настоящие правила являются офертой </w:t>
      </w:r>
      <w:r w:rsidR="0088458D" w:rsidRPr="005F76ED">
        <w:rPr>
          <w:rFonts w:ascii="Times New Roman" w:hAnsi="Times New Roman" w:cs="Times New Roman"/>
          <w:sz w:val="24"/>
          <w:szCs w:val="24"/>
          <w:lang w:eastAsia="ru-RU"/>
        </w:rPr>
        <w:t>в смысле, придаваемой ей ст. 435 ГК РФ.</w:t>
      </w:r>
    </w:p>
    <w:p w14:paraId="24513784" w14:textId="2A4366FA" w:rsidR="00191C93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1.7. Организатор Акции вправе вносить изменения в Правила, уведомив об этом Участников Акции путем размещения актуальной версии Правил на сайте </w:t>
      </w:r>
      <w:hyperlink w:history="1">
        <w:r w:rsidR="0087476E" w:rsidRPr="007D27EE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https://</w:t>
        </w:r>
        <w:r w:rsidR="0087476E" w:rsidRPr="007D27EE">
          <w:rPr>
            <w:rStyle w:val="ae"/>
          </w:rPr>
          <w:t xml:space="preserve"> </w:t>
        </w:r>
        <w:r w:rsidR="0087476E" w:rsidRPr="007D27EE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etalongroup.ru/</w:t>
        </w:r>
        <w:r w:rsidR="0087476E" w:rsidRPr="007D27EE">
          <w:rPr>
            <w:rStyle w:val="ae"/>
            <w:rFonts w:ascii="Times New Roman" w:hAnsi="Times New Roman" w:cs="Times New Roman"/>
            <w:sz w:val="24"/>
            <w:szCs w:val="24"/>
            <w:lang w:val="en-US" w:eastAsia="ru-RU"/>
          </w:rPr>
          <w:t>ekb</w:t>
        </w:r>
        <w:r w:rsidR="0087476E" w:rsidRPr="007D27EE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/</w:t>
        </w:r>
      </w:hyperlink>
      <w:r w:rsidRPr="005F76E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ACB8530" w14:textId="6E2AA36A" w:rsidR="00191C93" w:rsidRPr="00A1362A" w:rsidRDefault="00191C93" w:rsidP="005F76ED">
      <w:pPr>
        <w:jc w:val="both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Срок акцепта настоящих Правил составляет не менее 30 календарных дней с даты начала действия данной Акции и публикации Правил на сайте </w:t>
      </w:r>
      <w:hyperlink r:id="rId5" w:history="1">
        <w:r w:rsidR="0087476E" w:rsidRPr="007D27EE">
          <w:rPr>
            <w:rStyle w:val="ae"/>
            <w:rFonts w:ascii="Times New Roman" w:hAnsi="Times New Roman" w:cs="Times New Roman"/>
            <w:sz w:val="24"/>
            <w:szCs w:val="24"/>
          </w:rPr>
          <w:t>https://etalongroup.ru/</w:t>
        </w:r>
        <w:r w:rsidR="0087476E" w:rsidRPr="007D27E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ekb</w:t>
        </w:r>
      </w:hyperlink>
      <w:r w:rsidR="00A1362A" w:rsidRPr="00A1362A">
        <w:rPr>
          <w:rFonts w:ascii="Times New Roman" w:hAnsi="Times New Roman" w:cs="Times New Roman"/>
          <w:color w:val="0070C0"/>
          <w:sz w:val="24"/>
          <w:szCs w:val="24"/>
        </w:rPr>
        <w:t>/</w:t>
      </w:r>
      <w:r w:rsidR="00C545D6" w:rsidRPr="00A1362A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.</w:t>
      </w:r>
    </w:p>
    <w:p w14:paraId="4CC17228" w14:textId="4B90AADE" w:rsidR="00191C93" w:rsidRPr="00932F3B" w:rsidRDefault="00191C93" w:rsidP="005F76ED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1.8.</w:t>
      </w:r>
      <w:r w:rsidR="00D44A6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2F3B" w:rsidRPr="0021623A">
        <w:rPr>
          <w:rFonts w:ascii="Times New Roman" w:hAnsi="Times New Roman" w:cs="Times New Roman"/>
          <w:sz w:val="24"/>
          <w:szCs w:val="24"/>
          <w:lang w:eastAsia="ru-RU"/>
        </w:rPr>
        <w:t>Сочетание д</w:t>
      </w:r>
      <w:r w:rsidRPr="0021623A">
        <w:rPr>
          <w:rFonts w:ascii="Times New Roman" w:hAnsi="Times New Roman" w:cs="Times New Roman"/>
          <w:sz w:val="24"/>
          <w:szCs w:val="24"/>
          <w:lang w:eastAsia="ru-RU"/>
        </w:rPr>
        <w:t>анн</w:t>
      </w:r>
      <w:r w:rsidR="00434C50" w:rsidRPr="0021623A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21623A">
        <w:rPr>
          <w:rFonts w:ascii="Times New Roman" w:hAnsi="Times New Roman" w:cs="Times New Roman"/>
          <w:sz w:val="24"/>
          <w:szCs w:val="24"/>
          <w:lang w:eastAsia="ru-RU"/>
        </w:rPr>
        <w:t xml:space="preserve"> Акци</w:t>
      </w:r>
      <w:r w:rsidR="00932F3B" w:rsidRPr="0021623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1623A">
        <w:rPr>
          <w:rFonts w:ascii="Times New Roman" w:hAnsi="Times New Roman" w:cs="Times New Roman"/>
          <w:sz w:val="24"/>
          <w:szCs w:val="24"/>
          <w:lang w:eastAsia="ru-RU"/>
        </w:rPr>
        <w:t xml:space="preserve"> с другими акциями и скидками </w:t>
      </w:r>
      <w:r w:rsidR="00932F3B" w:rsidRPr="0021623A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определяет </w:t>
      </w:r>
      <w:r w:rsidRPr="0021623A">
        <w:rPr>
          <w:rFonts w:ascii="Times New Roman" w:hAnsi="Times New Roman" w:cs="Times New Roman"/>
          <w:sz w:val="24"/>
          <w:szCs w:val="24"/>
          <w:lang w:eastAsia="ru-RU"/>
        </w:rPr>
        <w:t>Организатор.</w:t>
      </w:r>
    </w:p>
    <w:p w14:paraId="34453BB4" w14:textId="683EC86E" w:rsidR="00191C93" w:rsidRDefault="00191C93" w:rsidP="005F76ED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1.9.</w:t>
      </w:r>
      <w:r w:rsidR="009E5B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Действующая редакция настоящих Правил (Оферты) доступна на сайте </w:t>
      </w:r>
      <w:hyperlink r:id="rId6" w:history="1">
        <w:r w:rsidR="0087476E" w:rsidRPr="007D27EE">
          <w:rPr>
            <w:rStyle w:val="ae"/>
          </w:rPr>
          <w:t xml:space="preserve"> </w:t>
        </w:r>
        <w:r w:rsidR="0087476E" w:rsidRPr="007D27EE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https://etalongroup.ru/</w:t>
        </w:r>
        <w:r w:rsidR="0087476E" w:rsidRPr="007D27EE">
          <w:rPr>
            <w:rStyle w:val="ae"/>
            <w:rFonts w:ascii="Times New Roman" w:hAnsi="Times New Roman" w:cs="Times New Roman"/>
            <w:sz w:val="24"/>
            <w:szCs w:val="24"/>
            <w:lang w:val="en-US" w:eastAsia="ru-RU"/>
          </w:rPr>
          <w:t>ekb</w:t>
        </w:r>
        <w:r w:rsidR="0087476E" w:rsidRPr="007D27EE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//</w:t>
        </w:r>
      </w:hyperlink>
      <w:r w:rsidR="000A110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5F1033B1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0B9BFC33" w14:textId="77777777" w:rsidR="00191C93" w:rsidRPr="005F76ED" w:rsidRDefault="00191C93" w:rsidP="00635A0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ТЕРМИНЫ И ОПРЕДЕЛЕНИЯ</w:t>
      </w:r>
    </w:p>
    <w:p w14:paraId="7A26DD68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Участник Акции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 — любое дееспособное физическое лицо, </w:t>
      </w:r>
      <w:r w:rsidR="003140A7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выразившее согласие на приобретение квартиры, указанной в Приложении 1, 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которому на момент участия в Акции исполнилось </w:t>
      </w:r>
      <w:r w:rsidR="00967680" w:rsidRPr="005F76ED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967680" w:rsidRPr="005F76ED">
        <w:rPr>
          <w:rFonts w:ascii="Times New Roman" w:hAnsi="Times New Roman" w:cs="Times New Roman"/>
          <w:sz w:val="24"/>
          <w:szCs w:val="24"/>
          <w:lang w:eastAsia="ru-RU"/>
        </w:rPr>
        <w:t>Двадцать один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967680" w:rsidRPr="005F76ED">
        <w:rPr>
          <w:rFonts w:ascii="Times New Roman" w:hAnsi="Times New Roman" w:cs="Times New Roman"/>
          <w:sz w:val="24"/>
          <w:szCs w:val="24"/>
          <w:lang w:eastAsia="ru-RU"/>
        </w:rPr>
        <w:t>год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, имеющее гражданство РФ, </w:t>
      </w:r>
      <w:r w:rsidR="001D61A1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использующее 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для приобретения </w:t>
      </w:r>
      <w:r w:rsidR="001D61A1" w:rsidRPr="005F76ED">
        <w:rPr>
          <w:rFonts w:ascii="Times New Roman" w:hAnsi="Times New Roman" w:cs="Times New Roman"/>
          <w:sz w:val="24"/>
          <w:szCs w:val="24"/>
          <w:lang w:eastAsia="ru-RU"/>
        </w:rPr>
        <w:t>квартиры</w:t>
      </w:r>
      <w:r w:rsidR="00D75FEB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собственные и/или кредитные денежные средства</w:t>
      </w:r>
      <w:r w:rsidR="00451961" w:rsidRPr="005F76E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70A0C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за исключением средств полагающихся </w:t>
      </w:r>
      <w:r w:rsidR="003140A7" w:rsidRPr="005F76ED">
        <w:rPr>
          <w:rFonts w:ascii="Times New Roman" w:hAnsi="Times New Roman" w:cs="Times New Roman"/>
          <w:sz w:val="24"/>
          <w:szCs w:val="24"/>
          <w:lang w:eastAsia="ru-RU"/>
        </w:rPr>
        <w:t>лицу по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: накопительн</w:t>
      </w:r>
      <w:r w:rsidR="003140A7" w:rsidRPr="005F76ED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-ипотечн</w:t>
      </w:r>
      <w:r w:rsidR="003140A7" w:rsidRPr="005F76ED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систем</w:t>
      </w:r>
      <w:r w:rsidR="003140A7" w:rsidRPr="005F76ED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жилищного обеспечения военнослужащих, государственн</w:t>
      </w:r>
      <w:r w:rsidR="003140A7" w:rsidRPr="005F76ED">
        <w:rPr>
          <w:rFonts w:ascii="Times New Roman" w:hAnsi="Times New Roman" w:cs="Times New Roman"/>
          <w:sz w:val="24"/>
          <w:szCs w:val="24"/>
          <w:lang w:eastAsia="ru-RU"/>
        </w:rPr>
        <w:t>ому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сертификат</w:t>
      </w:r>
      <w:r w:rsidR="003140A7" w:rsidRPr="005F76ED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на материнский (семейный) капитал, сертификат</w:t>
      </w:r>
      <w:r w:rsidR="003140A7" w:rsidRPr="005F76ED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, предоставляющи</w:t>
      </w:r>
      <w:r w:rsidR="003140A7" w:rsidRPr="005F76ED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жилищную субсидию/социальную выплату/компенсационную выплату, и допущенные Организатором к участию в Акции в соответствии с настоящими Правилами.</w:t>
      </w:r>
    </w:p>
    <w:p w14:paraId="4008D76B" w14:textId="645003B6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Квартира, участвующая в Акции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 — любая из квартир, находящаяся в свободной продаже (далее по тексту — Квартира).</w:t>
      </w:r>
    </w:p>
    <w:p w14:paraId="2E3CE86F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 участия в долевом строительстве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 — договор приобретения</w:t>
      </w:r>
      <w:r w:rsidR="00FF420E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строящейся Квартиры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, форма которого установлена застройщиком с учетом требований действующего законодательства Российской Федерации, заключаемый Участником Акции с Организатором, подлежащий государственной регистрации и считающийся заключенным с момента такой регистрации.</w:t>
      </w:r>
    </w:p>
    <w:p w14:paraId="71ADA584" w14:textId="74994887" w:rsidR="009F67C8" w:rsidRPr="005F76ED" w:rsidRDefault="009F67C8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1ECA">
        <w:rPr>
          <w:rFonts w:ascii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FF420E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 приобретения построенной Квартиры, форма которого установлена застройщиком с учетом требований действующего законодательства Российской Федерации, заключаемый Участником Акции с Организатором, являющийся основанием для государственной регистрации перехода права собственности на </w:t>
      </w:r>
      <w:r w:rsidR="00845CF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845CF0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вартиру </w:t>
      </w:r>
      <w:r w:rsidR="00FF420E" w:rsidRPr="005F76ED">
        <w:rPr>
          <w:rFonts w:ascii="Times New Roman" w:hAnsi="Times New Roman" w:cs="Times New Roman"/>
          <w:sz w:val="24"/>
          <w:szCs w:val="24"/>
          <w:lang w:eastAsia="ru-RU"/>
        </w:rPr>
        <w:t>на покупателя и считающийся заключенным с момента его подписания.</w:t>
      </w:r>
    </w:p>
    <w:p w14:paraId="6CF99381" w14:textId="4F105088" w:rsidR="000A110D" w:rsidRDefault="00191C93" w:rsidP="005F76ED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Дисконтная карта Участника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 — виртуальная (электронная) карта, служащая для идентификации Участника Акции в программе, начислени</w:t>
      </w:r>
      <w:r w:rsidR="003F0C39" w:rsidRPr="005F76ED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/списании Баллов (далее по тексту — Дисконтная карта Участника). Дисконтная карта Участника выпускается Организатором Акции единожды и размещается в личном кабинете Участника Акции на сайте </w:t>
      </w:r>
      <w:hyperlink r:id="rId7" w:history="1">
        <w:r w:rsidR="0087476E" w:rsidRPr="007D27EE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https://etalongroup.ru/</w:t>
        </w:r>
        <w:r w:rsidR="0087476E" w:rsidRPr="007D27EE">
          <w:rPr>
            <w:rStyle w:val="ae"/>
            <w:rFonts w:ascii="Times New Roman" w:hAnsi="Times New Roman" w:cs="Times New Roman"/>
            <w:sz w:val="24"/>
            <w:szCs w:val="24"/>
            <w:lang w:val="en-US" w:eastAsia="ru-RU"/>
          </w:rPr>
          <w:t>ekb</w:t>
        </w:r>
        <w:r w:rsidR="0087476E" w:rsidRPr="007D27EE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/</w:t>
        </w:r>
      </w:hyperlink>
      <w:r w:rsidR="000A110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5FED66A4" w14:textId="49FD32F3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Баллы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 — название условных единиц, характеризующих активность Участников Акции, в которых ведется счет: 1 балл = 1 рубль.</w:t>
      </w:r>
    </w:p>
    <w:p w14:paraId="31879D5C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Счет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 — счет, указанный клиентом в поручении для перечисления Баллов.</w:t>
      </w:r>
    </w:p>
    <w:p w14:paraId="3AACAEF5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0DC0D35C" w14:textId="77777777" w:rsidR="00191C93" w:rsidRPr="005F76ED" w:rsidRDefault="00191C93" w:rsidP="00635A0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ПРАВИЛА АКЦИИ</w:t>
      </w:r>
    </w:p>
    <w:p w14:paraId="3979288B" w14:textId="65EB8ED8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3.1. Для участия в Акции в период с </w:t>
      </w:r>
      <w:r w:rsidR="0021623A" w:rsidRPr="0021623A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C545D6" w:rsidRPr="0021623A">
        <w:rPr>
          <w:rFonts w:ascii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21623A">
        <w:rPr>
          <w:rFonts w:ascii="Times New Roman" w:hAnsi="Times New Roman" w:cs="Times New Roman"/>
          <w:sz w:val="24"/>
          <w:szCs w:val="24"/>
          <w:lang w:eastAsia="ru-RU"/>
        </w:rPr>
        <w:t>2025 г. по </w:t>
      </w:r>
      <w:r w:rsidR="00C545D6" w:rsidRPr="0021623A">
        <w:rPr>
          <w:rFonts w:ascii="Times New Roman" w:hAnsi="Times New Roman" w:cs="Times New Roman"/>
          <w:sz w:val="24"/>
          <w:szCs w:val="24"/>
          <w:lang w:eastAsia="ru-RU"/>
        </w:rPr>
        <w:t xml:space="preserve">31 </w:t>
      </w:r>
      <w:r w:rsidR="006D0B39">
        <w:rPr>
          <w:rFonts w:ascii="Times New Roman" w:hAnsi="Times New Roman" w:cs="Times New Roman"/>
          <w:sz w:val="24"/>
          <w:szCs w:val="24"/>
          <w:lang w:eastAsia="ru-RU"/>
        </w:rPr>
        <w:t>декабря</w:t>
      </w:r>
      <w:bookmarkStart w:id="0" w:name="_GoBack"/>
      <w:bookmarkEnd w:id="0"/>
      <w:r w:rsidR="00C545D6" w:rsidRPr="002162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623A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1623A" w:rsidRPr="0021623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162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623A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(включительно) необходимо:</w:t>
      </w:r>
    </w:p>
    <w:p w14:paraId="78153835" w14:textId="3FA3B30B" w:rsidR="00191C93" w:rsidRPr="00202566" w:rsidRDefault="00191C93" w:rsidP="005E6B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3.1.1. </w:t>
      </w:r>
      <w:r w:rsidR="003D2EB2" w:rsidRPr="00202566">
        <w:rPr>
          <w:rFonts w:ascii="Times New Roman" w:hAnsi="Times New Roman" w:cs="Times New Roman"/>
          <w:sz w:val="24"/>
          <w:szCs w:val="24"/>
          <w:lang w:eastAsia="ru-RU"/>
        </w:rPr>
        <w:t>Акцептовать (</w:t>
      </w:r>
      <w:r w:rsidR="002260D4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подписать заявление о присоединение к акции </w:t>
      </w:r>
      <w:r w:rsidR="002260D4" w:rsidRPr="0020256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«Бонусная программа </w:t>
      </w:r>
      <w:r w:rsidR="002260D4" w:rsidRPr="00202566">
        <w:rPr>
          <w:rFonts w:ascii="Times New Roman" w:hAnsi="Times New Roman" w:cs="Times New Roman"/>
          <w:b/>
          <w:sz w:val="24"/>
          <w:szCs w:val="24"/>
          <w:lang w:eastAsia="ru-RU"/>
        </w:rPr>
        <w:t>Застройщика»</w:t>
      </w:r>
      <w:r w:rsidR="003D2EB2" w:rsidRPr="00202566">
        <w:rPr>
          <w:rFonts w:ascii="Times New Roman" w:hAnsi="Times New Roman" w:cs="Times New Roman"/>
          <w:sz w:val="24"/>
          <w:szCs w:val="24"/>
          <w:lang w:eastAsia="ru-RU"/>
        </w:rPr>
        <w:t>) участие</w:t>
      </w:r>
      <w:r w:rsidR="00011ECA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D2EB2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в Акции на предложенных в настоящих Правилах условиях на сайте </w:t>
      </w:r>
      <w:hyperlink r:id="rId8" w:history="1">
        <w:r w:rsidR="0087476E" w:rsidRPr="007D27EE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https://etalongroup.ru/</w:t>
        </w:r>
        <w:r w:rsidR="0087476E" w:rsidRPr="007D27EE">
          <w:rPr>
            <w:rStyle w:val="ae"/>
            <w:rFonts w:ascii="Times New Roman" w:hAnsi="Times New Roman" w:cs="Times New Roman"/>
            <w:sz w:val="24"/>
            <w:szCs w:val="24"/>
            <w:lang w:val="en-US" w:eastAsia="ru-RU"/>
          </w:rPr>
          <w:t>ekb</w:t>
        </w:r>
        <w:r w:rsidR="0087476E" w:rsidRPr="007D27EE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/</w:t>
        </w:r>
      </w:hyperlink>
      <w:r w:rsidR="000A110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D2EB2" w:rsidRPr="00202566">
        <w:rPr>
          <w:rFonts w:ascii="Times New Roman" w:hAnsi="Times New Roman" w:cs="Times New Roman"/>
          <w:sz w:val="24"/>
          <w:szCs w:val="24"/>
          <w:lang w:eastAsia="ru-RU"/>
        </w:rPr>
        <w:t>и получить Дисконтную карту Участника</w:t>
      </w:r>
      <w:r w:rsidR="002260D4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 на электронный адрес </w:t>
      </w:r>
      <w:r w:rsidR="00220E44" w:rsidRPr="00202566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2260D4" w:rsidRPr="00202566">
        <w:rPr>
          <w:rFonts w:ascii="Times New Roman" w:hAnsi="Times New Roman" w:cs="Times New Roman"/>
          <w:sz w:val="24"/>
          <w:szCs w:val="24"/>
          <w:lang w:eastAsia="ru-RU"/>
        </w:rPr>
        <w:t>частника.</w:t>
      </w:r>
    </w:p>
    <w:p w14:paraId="611A2FAE" w14:textId="77777777" w:rsidR="00191C93" w:rsidRPr="00202566" w:rsidRDefault="00191C93" w:rsidP="0020256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3.1.2. </w:t>
      </w:r>
      <w:r w:rsidR="00825625" w:rsidRPr="00202566">
        <w:rPr>
          <w:rFonts w:ascii="Times New Roman" w:hAnsi="Times New Roman" w:cs="Times New Roman"/>
          <w:sz w:val="24"/>
          <w:szCs w:val="24"/>
          <w:lang w:eastAsia="ru-RU"/>
        </w:rPr>
        <w:t>Забронировать Квартиру на период выполнения Участником Акции условий Правил</w:t>
      </w:r>
      <w:r w:rsidRPr="002025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4A40BBD" w14:textId="2262FD99" w:rsidR="00191C93" w:rsidRPr="00202566" w:rsidRDefault="00191C93" w:rsidP="00202566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0256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3.1.3. </w:t>
      </w:r>
      <w:r w:rsidR="003D2EB2" w:rsidRPr="00202566">
        <w:rPr>
          <w:rFonts w:ascii="Times New Roman" w:hAnsi="Times New Roman" w:cs="Times New Roman"/>
          <w:sz w:val="24"/>
          <w:szCs w:val="24"/>
          <w:lang w:eastAsia="ru-RU"/>
        </w:rPr>
        <w:t>Подать заявку на одобрение ипотеки в банке</w:t>
      </w:r>
      <w:r w:rsidR="00825625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-партнере Организатора Акции </w:t>
      </w:r>
      <w:r w:rsidR="003D2EB2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через менеджера отдела ипотеки в офисе продаж Организатора Акции. </w:t>
      </w:r>
      <w:r w:rsidR="00825625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С перечнем </w:t>
      </w:r>
      <w:r w:rsidR="003D2EB2" w:rsidRPr="00202566">
        <w:rPr>
          <w:rFonts w:ascii="Times New Roman" w:hAnsi="Times New Roman" w:cs="Times New Roman"/>
          <w:sz w:val="24"/>
          <w:szCs w:val="24"/>
          <w:lang w:eastAsia="ru-RU"/>
        </w:rPr>
        <w:t>банков</w:t>
      </w:r>
      <w:r w:rsidR="00825625" w:rsidRPr="00202566">
        <w:rPr>
          <w:rFonts w:ascii="Times New Roman" w:hAnsi="Times New Roman" w:cs="Times New Roman"/>
          <w:sz w:val="24"/>
          <w:szCs w:val="24"/>
          <w:lang w:eastAsia="ru-RU"/>
        </w:rPr>
        <w:t>-партнеров</w:t>
      </w:r>
      <w:r w:rsidR="003D2EB2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, в которых </w:t>
      </w:r>
      <w:r w:rsidR="00825625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получается </w:t>
      </w:r>
      <w:r w:rsidR="003D2EB2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одобрение ипотечного кредита </w:t>
      </w:r>
      <w:r w:rsidR="00825625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 Акции </w:t>
      </w:r>
      <w:proofErr w:type="spellStart"/>
      <w:r w:rsidR="00466E0A" w:rsidRPr="00202566">
        <w:rPr>
          <w:rFonts w:ascii="Times New Roman" w:hAnsi="Times New Roman" w:cs="Times New Roman"/>
          <w:sz w:val="24"/>
          <w:szCs w:val="24"/>
          <w:lang w:eastAsia="ru-RU"/>
        </w:rPr>
        <w:t>озн</w:t>
      </w:r>
      <w:r w:rsidR="00A2063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66E0A" w:rsidRPr="00202566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A841F1" w:rsidRPr="0020256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66E0A" w:rsidRPr="00202566">
        <w:rPr>
          <w:rFonts w:ascii="Times New Roman" w:hAnsi="Times New Roman" w:cs="Times New Roman"/>
          <w:sz w:val="24"/>
          <w:szCs w:val="24"/>
          <w:lang w:eastAsia="ru-RU"/>
        </w:rPr>
        <w:t>мливается</w:t>
      </w:r>
      <w:proofErr w:type="spellEnd"/>
      <w:r w:rsidR="00466E0A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5625" w:rsidRPr="00202566">
        <w:rPr>
          <w:rFonts w:ascii="Times New Roman" w:hAnsi="Times New Roman" w:cs="Times New Roman"/>
          <w:sz w:val="24"/>
          <w:szCs w:val="24"/>
          <w:lang w:eastAsia="ru-RU"/>
        </w:rPr>
        <w:t>самостоятельно и заблаговременно</w:t>
      </w:r>
      <w:r w:rsidR="003D2EB2" w:rsidRPr="002025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4633038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2566">
        <w:rPr>
          <w:rFonts w:ascii="Times New Roman" w:hAnsi="Times New Roman" w:cs="Times New Roman"/>
          <w:sz w:val="24"/>
          <w:szCs w:val="24"/>
          <w:lang w:eastAsia="ru-RU"/>
        </w:rPr>
        <w:t>3.1.4. Заключить кредитный договор, предметом которого является предоставление кредита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для целей оплаты цены Договора участия долевого участия</w:t>
      </w:r>
      <w:r w:rsidR="004A341A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r w:rsidR="009F67C8" w:rsidRPr="005F76ED">
        <w:rPr>
          <w:rFonts w:ascii="Times New Roman" w:hAnsi="Times New Roman" w:cs="Times New Roman"/>
          <w:sz w:val="24"/>
          <w:szCs w:val="24"/>
          <w:lang w:eastAsia="ru-RU"/>
        </w:rPr>
        <w:t>Договора купли-продажи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, указанного в </w:t>
      </w:r>
      <w:proofErr w:type="spellStart"/>
      <w:r w:rsidRPr="005F76ED">
        <w:rPr>
          <w:rFonts w:ascii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5F76ED">
        <w:rPr>
          <w:rFonts w:ascii="Times New Roman" w:hAnsi="Times New Roman" w:cs="Times New Roman"/>
          <w:sz w:val="24"/>
          <w:szCs w:val="24"/>
          <w:lang w:eastAsia="ru-RU"/>
        </w:rPr>
        <w:t>. 3.1.7. настоящих Правил;</w:t>
      </w:r>
    </w:p>
    <w:p w14:paraId="4C3DB706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3.1.5. Предоставить документы, подтверждающие выдачу кредита, указанного в </w:t>
      </w:r>
      <w:proofErr w:type="spellStart"/>
      <w:r w:rsidRPr="005F76ED">
        <w:rPr>
          <w:rFonts w:ascii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5F76ED">
        <w:rPr>
          <w:rFonts w:ascii="Times New Roman" w:hAnsi="Times New Roman" w:cs="Times New Roman"/>
          <w:sz w:val="24"/>
          <w:szCs w:val="24"/>
          <w:lang w:eastAsia="ru-RU"/>
        </w:rPr>
        <w:t>. 3.1.4. настоящих Правил, на аккредитивный счет</w:t>
      </w:r>
      <w:r w:rsidR="00B55823">
        <w:rPr>
          <w:rFonts w:ascii="Times New Roman" w:hAnsi="Times New Roman" w:cs="Times New Roman"/>
          <w:sz w:val="24"/>
          <w:szCs w:val="24"/>
          <w:lang w:eastAsia="ru-RU"/>
        </w:rPr>
        <w:t>/номинальный счет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6A3437C" w14:textId="77777777" w:rsidR="00191C93" w:rsidRPr="00202566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3.1.6. Выдать поручение Организатору на перечисление баллов в денежном эквиваленте на </w:t>
      </w:r>
      <w:r w:rsidRPr="00202566">
        <w:rPr>
          <w:rFonts w:ascii="Times New Roman" w:hAnsi="Times New Roman" w:cs="Times New Roman"/>
          <w:sz w:val="24"/>
          <w:szCs w:val="24"/>
          <w:lang w:eastAsia="ru-RU"/>
        </w:rPr>
        <w:t>Счет, по форме, установленной Организатором;</w:t>
      </w:r>
    </w:p>
    <w:p w14:paraId="7060D1DF" w14:textId="4DD8F960" w:rsidR="00191C93" w:rsidRPr="00202566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3.1.7. Заключить Договор участия в долевом строительстве </w:t>
      </w:r>
      <w:r w:rsidR="009F67C8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(Договор купли-продажи) </w:t>
      </w:r>
      <w:r w:rsidRPr="00202566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781E32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 люб</w:t>
      </w:r>
      <w:r w:rsidR="00C765F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781E32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ю </w:t>
      </w:r>
      <w:r w:rsidRPr="00202566">
        <w:rPr>
          <w:rFonts w:ascii="Times New Roman" w:hAnsi="Times New Roman" w:cs="Times New Roman"/>
          <w:sz w:val="24"/>
          <w:szCs w:val="24"/>
          <w:lang w:eastAsia="ru-RU"/>
        </w:rPr>
        <w:t>Квартиру</w:t>
      </w:r>
      <w:r w:rsidR="00781E32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66CB4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расположенную в </w:t>
      </w:r>
      <w:r w:rsidR="005E7BDF" w:rsidRPr="00202566">
        <w:rPr>
          <w:rFonts w:ascii="Times New Roman" w:hAnsi="Times New Roman" w:cs="Times New Roman"/>
          <w:sz w:val="24"/>
          <w:szCs w:val="24"/>
          <w:lang w:eastAsia="ru-RU"/>
        </w:rPr>
        <w:t>Объекте</w:t>
      </w:r>
      <w:r w:rsidR="009B28E6" w:rsidRPr="0020256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D605285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3.2. </w:t>
      </w:r>
      <w:r w:rsidR="00825625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Выполнением 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Правил Акции является выполнение пункта 3.1. настоящего раздела Правил.  </w:t>
      </w:r>
    </w:p>
    <w:p w14:paraId="034A918F" w14:textId="77777777" w:rsidR="00C8284C" w:rsidRPr="00202566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3.3. </w:t>
      </w:r>
      <w:r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Принимая Правила Акции, в соответствии с пунктом 3.1. настоящего раздела Правил, Участник Акции соглашается </w:t>
      </w:r>
      <w:r w:rsidR="004B4832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на выпуск Организатором Акции </w:t>
      </w:r>
      <w:r w:rsidR="00CF435C" w:rsidRPr="00202566">
        <w:rPr>
          <w:rFonts w:ascii="Times New Roman" w:hAnsi="Times New Roman" w:cs="Times New Roman"/>
          <w:sz w:val="24"/>
          <w:szCs w:val="24"/>
          <w:lang w:eastAsia="ru-RU"/>
        </w:rPr>
        <w:t>дисконтной</w:t>
      </w:r>
      <w:r w:rsidR="00F92DD2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53D8" w:rsidRPr="00202566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4B4832" w:rsidRPr="00202566">
        <w:rPr>
          <w:rFonts w:ascii="Times New Roman" w:hAnsi="Times New Roman" w:cs="Times New Roman"/>
          <w:sz w:val="24"/>
          <w:szCs w:val="24"/>
          <w:lang w:eastAsia="ru-RU"/>
        </w:rPr>
        <w:t>арты Участника в соответствии с настоящими Правилами</w:t>
      </w:r>
      <w:r w:rsidR="00C8284C" w:rsidRPr="00202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EBEDB3C" w14:textId="3EFDAA04" w:rsidR="00191C93" w:rsidRPr="00202566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2566">
        <w:rPr>
          <w:rFonts w:ascii="Times New Roman" w:hAnsi="Times New Roman" w:cs="Times New Roman"/>
          <w:sz w:val="24"/>
          <w:szCs w:val="24"/>
          <w:lang w:eastAsia="ru-RU"/>
        </w:rPr>
        <w:t>3.4. При соблюдении условий, установленных в п. 3.1. Правил, Организатор Акции начисляет Участнику Акции Баллы в </w:t>
      </w:r>
      <w:r w:rsidR="00F92DD2" w:rsidRPr="00202566">
        <w:rPr>
          <w:rFonts w:ascii="Times New Roman" w:hAnsi="Times New Roman" w:cs="Times New Roman"/>
          <w:sz w:val="24"/>
          <w:szCs w:val="24"/>
          <w:lang w:eastAsia="ru-RU"/>
        </w:rPr>
        <w:t>сумме</w:t>
      </w:r>
      <w:r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 до </w:t>
      </w:r>
      <w:r w:rsidR="00EC617D" w:rsidRPr="00202566"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Pr="00202566">
        <w:rPr>
          <w:rFonts w:ascii="Times New Roman" w:hAnsi="Times New Roman" w:cs="Times New Roman"/>
          <w:sz w:val="24"/>
          <w:szCs w:val="24"/>
          <w:lang w:eastAsia="ru-RU"/>
        </w:rPr>
        <w:t>% (</w:t>
      </w:r>
      <w:r w:rsidR="00EC617D" w:rsidRPr="00202566">
        <w:rPr>
          <w:rFonts w:ascii="Times New Roman" w:hAnsi="Times New Roman" w:cs="Times New Roman"/>
          <w:sz w:val="24"/>
          <w:szCs w:val="24"/>
          <w:lang w:eastAsia="ru-RU"/>
        </w:rPr>
        <w:t>Тридцати процентов</w:t>
      </w:r>
      <w:r w:rsidRPr="0020256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797D6A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4A341A" w:rsidRPr="00202566">
        <w:rPr>
          <w:rFonts w:ascii="Times New Roman" w:hAnsi="Times New Roman" w:cs="Times New Roman"/>
          <w:sz w:val="24"/>
          <w:szCs w:val="24"/>
          <w:lang w:eastAsia="ru-RU"/>
        </w:rPr>
        <w:t>цены</w:t>
      </w:r>
      <w:r w:rsidR="00797D6A"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договора приобретения,</w:t>
      </w:r>
      <w:r w:rsidRPr="00202566">
        <w:rPr>
          <w:rFonts w:ascii="Times New Roman" w:hAnsi="Times New Roman" w:cs="Times New Roman"/>
          <w:sz w:val="24"/>
          <w:szCs w:val="24"/>
          <w:lang w:eastAsia="ru-RU"/>
        </w:rPr>
        <w:t xml:space="preserve"> из расчета 1 Балл = 1 рубль.</w:t>
      </w:r>
      <w:r w:rsidR="00C8284C" w:rsidRPr="002025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D6A" w:rsidRPr="00202566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</w:t>
      </w:r>
      <w:r w:rsidR="00C8284C" w:rsidRPr="00202566">
        <w:rPr>
          <w:rFonts w:ascii="Times New Roman" w:hAnsi="Times New Roman" w:cs="Times New Roman"/>
          <w:b/>
          <w:sz w:val="24"/>
          <w:szCs w:val="24"/>
        </w:rPr>
        <w:t xml:space="preserve"> 4 999</w:t>
      </w:r>
      <w:r w:rsidR="00F92DD2" w:rsidRPr="00202566">
        <w:rPr>
          <w:rFonts w:ascii="Times New Roman" w:hAnsi="Times New Roman" w:cs="Times New Roman"/>
          <w:b/>
          <w:sz w:val="24"/>
          <w:szCs w:val="24"/>
        </w:rPr>
        <w:t> </w:t>
      </w:r>
      <w:r w:rsidR="00C8284C" w:rsidRPr="00202566">
        <w:rPr>
          <w:rFonts w:ascii="Times New Roman" w:hAnsi="Times New Roman" w:cs="Times New Roman"/>
          <w:b/>
          <w:sz w:val="24"/>
          <w:szCs w:val="24"/>
        </w:rPr>
        <w:t>999</w:t>
      </w:r>
      <w:r w:rsidR="00F92DD2" w:rsidRPr="00202566">
        <w:rPr>
          <w:rFonts w:ascii="Times New Roman" w:hAnsi="Times New Roman" w:cs="Times New Roman"/>
          <w:b/>
          <w:sz w:val="24"/>
          <w:szCs w:val="24"/>
        </w:rPr>
        <w:t>.</w:t>
      </w:r>
      <w:r w:rsidR="00F92DD2" w:rsidRPr="00202566">
        <w:rPr>
          <w:rFonts w:ascii="Times New Roman" w:hAnsi="Times New Roman" w:cs="Times New Roman"/>
          <w:sz w:val="24"/>
          <w:szCs w:val="24"/>
        </w:rPr>
        <w:t xml:space="preserve"> По поручению Участника Акции</w:t>
      </w:r>
      <w:r w:rsidR="00CF435C" w:rsidRPr="00202566">
        <w:rPr>
          <w:rFonts w:ascii="Times New Roman" w:hAnsi="Times New Roman" w:cs="Times New Roman"/>
          <w:sz w:val="24"/>
          <w:szCs w:val="24"/>
        </w:rPr>
        <w:t xml:space="preserve"> начисленные баллы</w:t>
      </w:r>
      <w:r w:rsidR="00F92DD2" w:rsidRPr="00202566">
        <w:rPr>
          <w:rFonts w:ascii="Times New Roman" w:hAnsi="Times New Roman" w:cs="Times New Roman"/>
          <w:sz w:val="24"/>
          <w:szCs w:val="24"/>
        </w:rPr>
        <w:t xml:space="preserve"> после конвертации переводятся на Счет</w:t>
      </w:r>
      <w:r w:rsidR="00CF435C" w:rsidRPr="00202566">
        <w:rPr>
          <w:rFonts w:ascii="Times New Roman" w:hAnsi="Times New Roman" w:cs="Times New Roman"/>
          <w:sz w:val="24"/>
          <w:szCs w:val="24"/>
        </w:rPr>
        <w:t xml:space="preserve"> участника по реквизитам, указанным в заявлении о присоединении к правилам акции</w:t>
      </w:r>
      <w:r w:rsidR="00797D6A" w:rsidRPr="00202566">
        <w:rPr>
          <w:rFonts w:ascii="Times New Roman" w:hAnsi="Times New Roman" w:cs="Times New Roman"/>
          <w:b/>
          <w:sz w:val="24"/>
          <w:szCs w:val="24"/>
        </w:rPr>
        <w:t>.</w:t>
      </w:r>
      <w:r w:rsidR="00C8284C" w:rsidRPr="002025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ED8728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3.5. Организатор на основании поручения Участника Акции принимает на себя обязательство перечислить денежные средства на Счет в размере рублевого эквивалента начисленным Баллам (далее по тексту может упоминаться как «выплата (списание) баллов в денежной форме»).</w:t>
      </w:r>
    </w:p>
    <w:p w14:paraId="6566EBC3" w14:textId="378A003B" w:rsidR="00191C93" w:rsidRPr="008910B7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3.6. Баллы выплачиваются (списываются) в денежной форме единоразово, единым платежом не позднее </w:t>
      </w:r>
      <w:r w:rsidRPr="008910B7">
        <w:rPr>
          <w:rFonts w:ascii="Times New Roman" w:hAnsi="Times New Roman" w:cs="Times New Roman"/>
          <w:sz w:val="24"/>
          <w:szCs w:val="24"/>
          <w:lang w:eastAsia="ru-RU"/>
        </w:rPr>
        <w:t>15 </w:t>
      </w:r>
      <w:r w:rsidR="00C72D93" w:rsidRPr="008910B7">
        <w:rPr>
          <w:rFonts w:ascii="Times New Roman" w:hAnsi="Times New Roman" w:cs="Times New Roman"/>
          <w:sz w:val="24"/>
          <w:szCs w:val="24"/>
          <w:lang w:eastAsia="ru-RU"/>
        </w:rPr>
        <w:t>календарных</w:t>
      </w:r>
      <w:r w:rsidRPr="008910B7">
        <w:rPr>
          <w:rFonts w:ascii="Times New Roman" w:hAnsi="Times New Roman" w:cs="Times New Roman"/>
          <w:sz w:val="24"/>
          <w:szCs w:val="24"/>
          <w:lang w:eastAsia="ru-RU"/>
        </w:rPr>
        <w:t xml:space="preserve"> дней после заключения Договора участия в долевом строительстве</w:t>
      </w:r>
      <w:r w:rsidR="00032FD4" w:rsidRPr="008910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7544" w:rsidRPr="008910B7">
        <w:rPr>
          <w:rFonts w:ascii="Times New Roman" w:hAnsi="Times New Roman" w:cs="Times New Roman"/>
          <w:sz w:val="24"/>
          <w:szCs w:val="24"/>
          <w:lang w:eastAsia="ru-RU"/>
        </w:rPr>
        <w:t xml:space="preserve">или регистрации перехода права собственности на </w:t>
      </w:r>
      <w:r w:rsidR="00A545D8" w:rsidRPr="008910B7">
        <w:rPr>
          <w:rFonts w:ascii="Times New Roman" w:hAnsi="Times New Roman" w:cs="Times New Roman"/>
          <w:sz w:val="24"/>
          <w:szCs w:val="24"/>
          <w:lang w:eastAsia="ru-RU"/>
        </w:rPr>
        <w:t>Квартиру</w:t>
      </w:r>
      <w:r w:rsidR="007A7544" w:rsidRPr="008910B7">
        <w:rPr>
          <w:rFonts w:ascii="Times New Roman" w:hAnsi="Times New Roman" w:cs="Times New Roman"/>
          <w:sz w:val="24"/>
          <w:szCs w:val="24"/>
          <w:lang w:eastAsia="ru-RU"/>
        </w:rPr>
        <w:t xml:space="preserve">, в случае заключения Участником </w:t>
      </w:r>
      <w:r w:rsidR="00032FD4" w:rsidRPr="008910B7">
        <w:rPr>
          <w:rFonts w:ascii="Times New Roman" w:hAnsi="Times New Roman" w:cs="Times New Roman"/>
          <w:sz w:val="24"/>
          <w:szCs w:val="24"/>
          <w:lang w:eastAsia="ru-RU"/>
        </w:rPr>
        <w:t>Договора купли-продажи</w:t>
      </w:r>
      <w:r w:rsidRPr="008910B7">
        <w:rPr>
          <w:rFonts w:ascii="Times New Roman" w:hAnsi="Times New Roman" w:cs="Times New Roman"/>
          <w:sz w:val="24"/>
          <w:szCs w:val="24"/>
          <w:lang w:eastAsia="ru-RU"/>
        </w:rPr>
        <w:t>. Выплата (списание) Баллов частями не допускается.</w:t>
      </w:r>
    </w:p>
    <w:p w14:paraId="386F76B3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3.7. В случае расторжения Договора участия в долевом строительстве</w:t>
      </w:r>
      <w:r w:rsidR="00AF0D26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r w:rsidR="004D538C" w:rsidRPr="005F76ED">
        <w:rPr>
          <w:rFonts w:ascii="Times New Roman" w:hAnsi="Times New Roman" w:cs="Times New Roman"/>
          <w:sz w:val="24"/>
          <w:szCs w:val="24"/>
          <w:lang w:eastAsia="ru-RU"/>
        </w:rPr>
        <w:t>Договора купли-продажи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выплата (списание) Баллов не производится.</w:t>
      </w:r>
    </w:p>
    <w:p w14:paraId="27298938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3.8. В случае </w:t>
      </w:r>
      <w:r w:rsidR="007A7544" w:rsidRPr="005F76ED">
        <w:rPr>
          <w:rFonts w:ascii="Times New Roman" w:hAnsi="Times New Roman" w:cs="Times New Roman"/>
          <w:sz w:val="24"/>
          <w:szCs w:val="24"/>
          <w:lang w:eastAsia="ru-RU"/>
        </w:rPr>
        <w:t>прекращения (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расторжения</w:t>
      </w:r>
      <w:r w:rsidR="007A7544" w:rsidRPr="005F76E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Договора участия в долевом строительстве </w:t>
      </w:r>
      <w:r w:rsidR="00DA390A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="004D538C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Договора купли-продажи </w:t>
      </w:r>
      <w:r w:rsidR="007A7544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по любым причинам 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после выплаты (списания) Баллов, Организатор вправе требовать возврата выплаты. Возврат выплаты осуществляется на банковский счет Организатора, указанный в договоре участия в долевом строительстве</w:t>
      </w:r>
      <w:r w:rsidR="00AF0D26"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r w:rsidR="004D538C" w:rsidRPr="005F76ED">
        <w:rPr>
          <w:rFonts w:ascii="Times New Roman" w:hAnsi="Times New Roman" w:cs="Times New Roman"/>
          <w:sz w:val="24"/>
          <w:szCs w:val="24"/>
          <w:lang w:eastAsia="ru-RU"/>
        </w:rPr>
        <w:t>Договоре купли-продажи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F81FB29" w14:textId="77777777" w:rsidR="00191C93" w:rsidRPr="00A2239C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3.9. В случае если на момент выплаты (списания) Счет для перечисления Баллов является закрытым или находится в любом другом состоянии, препятствующем Организатору 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Акции произвести выплату (списание), Участник Акции исключается из Акции и не получает выплату.</w:t>
      </w:r>
    </w:p>
    <w:p w14:paraId="388D6196" w14:textId="77777777" w:rsidR="00191C93" w:rsidRPr="00A2239C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39C">
        <w:rPr>
          <w:rFonts w:ascii="Times New Roman" w:hAnsi="Times New Roman" w:cs="Times New Roman"/>
          <w:sz w:val="24"/>
          <w:szCs w:val="24"/>
          <w:lang w:eastAsia="ru-RU"/>
        </w:rPr>
        <w:t xml:space="preserve">3.10. В случае приобретения Квартиры в общую совместную собственность или долевую собственность Участником Акции становится тот, </w:t>
      </w:r>
      <w:r w:rsidR="00CF435C" w:rsidRPr="00A2239C">
        <w:rPr>
          <w:rFonts w:ascii="Times New Roman" w:hAnsi="Times New Roman" w:cs="Times New Roman"/>
          <w:sz w:val="24"/>
          <w:szCs w:val="24"/>
        </w:rPr>
        <w:t>которому выдан ипотечный кредит на приобретение Квартиры</w:t>
      </w:r>
      <w:r w:rsidRPr="00A2239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2E57D8D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3.11. Участник Акции может принимать участие в Акции единожды.</w:t>
      </w:r>
    </w:p>
    <w:p w14:paraId="590E5DB1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172D367B" w14:textId="77777777" w:rsidR="004B4832" w:rsidRPr="005F76ED" w:rsidRDefault="00191C93" w:rsidP="00635A0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4B4832"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ПРАВИЛА ИСПОЛЬЗОВАНИЯ ДИСКОНТНОЙ КАРТЫ УЧАСТНИКА</w:t>
      </w:r>
    </w:p>
    <w:p w14:paraId="3C8FC4BB" w14:textId="60BBC6C5" w:rsidR="004B4832" w:rsidRPr="00A2239C" w:rsidRDefault="004B4832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 </w:t>
      </w:r>
      <w:bookmarkStart w:id="1" w:name="_Hlk209447341"/>
      <w:r w:rsidRPr="005F76ED">
        <w:rPr>
          <w:rFonts w:ascii="Times New Roman" w:hAnsi="Times New Roman" w:cs="Times New Roman"/>
          <w:sz w:val="24"/>
          <w:szCs w:val="24"/>
          <w:lang w:eastAsia="ru-RU"/>
        </w:rPr>
        <w:t>4.1. Дисконтная карта Участника не имеет пластикового носителя и направляется Участнику по электронной почте</w:t>
      </w:r>
      <w:r w:rsidRPr="0044556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F76E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2239C">
        <w:rPr>
          <w:rFonts w:ascii="Times New Roman" w:hAnsi="Times New Roman" w:cs="Times New Roman"/>
          <w:sz w:val="24"/>
          <w:szCs w:val="24"/>
          <w:lang w:eastAsia="ru-RU"/>
        </w:rPr>
        <w:t xml:space="preserve">указанной в </w:t>
      </w:r>
      <w:r w:rsidR="00023DF7" w:rsidRPr="00A2239C">
        <w:rPr>
          <w:rFonts w:ascii="Times New Roman" w:hAnsi="Times New Roman" w:cs="Times New Roman"/>
          <w:sz w:val="24"/>
          <w:szCs w:val="24"/>
          <w:lang w:eastAsia="ru-RU"/>
        </w:rPr>
        <w:t>заявлении участника о присоединении к Правилам</w:t>
      </w:r>
      <w:r w:rsidRPr="00A2239C">
        <w:rPr>
          <w:rFonts w:ascii="Times New Roman" w:hAnsi="Times New Roman" w:cs="Times New Roman"/>
          <w:sz w:val="24"/>
          <w:szCs w:val="24"/>
          <w:lang w:eastAsia="ru-RU"/>
        </w:rPr>
        <w:t>. </w:t>
      </w:r>
    </w:p>
    <w:bookmarkEnd w:id="1"/>
    <w:p w14:paraId="727B0EAD" w14:textId="77777777" w:rsidR="004B4832" w:rsidRPr="00A2239C" w:rsidRDefault="004B4832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39C">
        <w:rPr>
          <w:rFonts w:ascii="Times New Roman" w:hAnsi="Times New Roman" w:cs="Times New Roman"/>
          <w:sz w:val="24"/>
          <w:szCs w:val="24"/>
          <w:lang w:eastAsia="ru-RU"/>
        </w:rPr>
        <w:t>4.2. Дисконтная карта Участника автоматически выпускается Организатором Акции Участнику Акции в момент акцепта Правил Акции Участником Акции. Дисконтная карта Участника активируется в момент выпуска и становится доступна.</w:t>
      </w:r>
    </w:p>
    <w:p w14:paraId="75EEED65" w14:textId="77777777" w:rsidR="004B4832" w:rsidRPr="00A2239C" w:rsidRDefault="004B4832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39C">
        <w:rPr>
          <w:rFonts w:ascii="Times New Roman" w:hAnsi="Times New Roman" w:cs="Times New Roman"/>
          <w:sz w:val="24"/>
          <w:szCs w:val="24"/>
          <w:lang w:eastAsia="ru-RU"/>
        </w:rPr>
        <w:t>4.3. Участник Акции является держателем Дисконтной карты Участника, ее нельзя продать, подарить или передать в пользование третьим лицам иным способом, в том числе посредством сети «Интернет».</w:t>
      </w:r>
    </w:p>
    <w:p w14:paraId="6A1620EB" w14:textId="77777777" w:rsidR="004B4832" w:rsidRPr="00A2239C" w:rsidRDefault="004B4832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39C">
        <w:rPr>
          <w:rFonts w:ascii="Times New Roman" w:hAnsi="Times New Roman" w:cs="Times New Roman"/>
          <w:sz w:val="24"/>
          <w:szCs w:val="24"/>
          <w:lang w:eastAsia="ru-RU"/>
        </w:rPr>
        <w:t>4.4. В случае списания Баллов в денежной форме в результате получения третьими лицами доступа к Дисконтной карте Участника (в том числе по инициативе Участника Акции), а также в результате недобросовестных действий Участника Акции и/или третьих лиц, списанные Баллы не подлежат восстановлению.</w:t>
      </w:r>
    </w:p>
    <w:p w14:paraId="6DF9C07E" w14:textId="77777777" w:rsidR="004B4832" w:rsidRPr="005F76ED" w:rsidRDefault="004B4832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4.5. На одного Участника Акции может быть выпущена только одна Дисконтная карта Участника.</w:t>
      </w:r>
    </w:p>
    <w:p w14:paraId="215A9BE9" w14:textId="4437A49C" w:rsidR="004B4832" w:rsidRPr="005F76ED" w:rsidRDefault="004B4832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4.6. Дисконтная карта Участника не является кредитной или платежной картой.</w:t>
      </w:r>
    </w:p>
    <w:p w14:paraId="2C1BF01E" w14:textId="77777777" w:rsidR="00191C93" w:rsidRPr="005F76ED" w:rsidRDefault="004B4832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4.7. Дисконтная карта Участника действует в течение срока действия Акции или до любой другой даты прекращения действия, установленной в соответствии с Акцией.</w:t>
      </w:r>
    </w:p>
    <w:p w14:paraId="46D78AC3" w14:textId="77777777" w:rsidR="00191C93" w:rsidRPr="005F76ED" w:rsidRDefault="00191C93" w:rsidP="00635A0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ПРОЧИЕ УСЛОВИЯ</w:t>
      </w:r>
    </w:p>
    <w:p w14:paraId="55F328D7" w14:textId="5244202A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5.1. Срок проведения Акции с </w:t>
      </w:r>
      <w:r w:rsidR="0021623A" w:rsidRPr="0021623A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A2239C" w:rsidRPr="0021623A">
        <w:rPr>
          <w:rFonts w:ascii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21623A">
        <w:rPr>
          <w:rFonts w:ascii="Times New Roman" w:hAnsi="Times New Roman" w:cs="Times New Roman"/>
          <w:sz w:val="24"/>
          <w:szCs w:val="24"/>
          <w:lang w:eastAsia="ru-RU"/>
        </w:rPr>
        <w:t>2025 г. по </w:t>
      </w:r>
      <w:r w:rsidR="00A2239C" w:rsidRPr="0021623A">
        <w:rPr>
          <w:rFonts w:ascii="Times New Roman" w:hAnsi="Times New Roman" w:cs="Times New Roman"/>
          <w:sz w:val="24"/>
          <w:szCs w:val="24"/>
          <w:lang w:eastAsia="ru-RU"/>
        </w:rPr>
        <w:t xml:space="preserve">31 </w:t>
      </w:r>
      <w:r w:rsidR="0021623A" w:rsidRPr="0021623A">
        <w:rPr>
          <w:rFonts w:ascii="Times New Roman" w:hAnsi="Times New Roman" w:cs="Times New Roman"/>
          <w:sz w:val="24"/>
          <w:szCs w:val="24"/>
          <w:lang w:eastAsia="ru-RU"/>
        </w:rPr>
        <w:t>января</w:t>
      </w:r>
      <w:r w:rsidR="00A2239C" w:rsidRPr="002162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623A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1623A" w:rsidRPr="0021623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21623A">
        <w:rPr>
          <w:rFonts w:ascii="Times New Roman" w:hAnsi="Times New Roman" w:cs="Times New Roman"/>
          <w:sz w:val="24"/>
          <w:szCs w:val="24"/>
          <w:lang w:eastAsia="ru-RU"/>
        </w:rPr>
        <w:t xml:space="preserve"> г. 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включительно без учёта предоставления выплаты. Срок проведения Акции может быть продлен по решению Организатора Акции. Организатор Акции не вправе отозвать оферту до истечения обозначенного срока.</w:t>
      </w:r>
    </w:p>
    <w:p w14:paraId="3313B677" w14:textId="77777777" w:rsidR="00A2239C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5.2. Организатор принимает на себя обязательство перечислить денежные средства на Счет в размере рублевого эквивалента начисленным баллам. В соответствии с п. 68 ст. 217 НК РФ начисление Баллов, выплата (списание), а также перечисление денежного эквивалента   на счет Участника Акции в порядке и на условиях настоящих Правил не облагается НДФЛ.</w:t>
      </w:r>
    </w:p>
    <w:p w14:paraId="765C0D95" w14:textId="17A6EAF9" w:rsidR="000A110D" w:rsidRDefault="00191C93" w:rsidP="005F76ED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5.4. Срок акцепта настоящих Правил составляет не менее 30 календарных дней с даты начала действия данной Акции публикации</w:t>
      </w:r>
      <w:r w:rsidR="00A223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текста Акции на сайте </w:t>
      </w:r>
      <w:hyperlink w:history="1">
        <w:r w:rsidR="00E2516C" w:rsidRPr="007D27EE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https://</w:t>
        </w:r>
        <w:r w:rsidR="00E2516C" w:rsidRPr="007D27EE">
          <w:rPr>
            <w:rStyle w:val="ae"/>
          </w:rPr>
          <w:t xml:space="preserve"> </w:t>
        </w:r>
        <w:r w:rsidR="00E2516C" w:rsidRPr="007D27EE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https://etalongroup.ru/</w:t>
        </w:r>
        <w:r w:rsidR="00E2516C" w:rsidRPr="007D27EE">
          <w:rPr>
            <w:rStyle w:val="ae"/>
            <w:rFonts w:ascii="Times New Roman" w:hAnsi="Times New Roman" w:cs="Times New Roman"/>
            <w:sz w:val="24"/>
            <w:szCs w:val="24"/>
            <w:lang w:val="en-US" w:eastAsia="ru-RU"/>
          </w:rPr>
          <w:t>ekb</w:t>
        </w:r>
        <w:r w:rsidR="00E2516C" w:rsidRPr="007D27EE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//</w:t>
        </w:r>
      </w:hyperlink>
      <w:r w:rsidR="001A6A61">
        <w:rPr>
          <w:rStyle w:val="ae"/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40A04C5" w14:textId="69CCF190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 несоблюдении и/или нарушении Правил настоящей Акции, а также обнаружении недобросовестности в действиях Участника Акции Организатор Акции оставляет за собой право не производить выплаты без уведомления и объяснения причин такому Участнику Акции.</w:t>
      </w:r>
    </w:p>
    <w:p w14:paraId="0F65B30A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5.5. Организатор Акции не несет ответственность за неисполнение либо ненадлежащее исполнение своих обязательств перед Участниками Акции вследствие сбоев в телекоммуникационных и энергетических сетях, действий вредоносных программ, недобросовестных действий третьих лиц.</w:t>
      </w:r>
    </w:p>
    <w:p w14:paraId="4B924652" w14:textId="77777777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>5.6. Организатор Акции не несёт ответственность за невозможность перечисления Баллов Участника Акции на Счет для перечисления Баллов Участника Акции, указанный в представленных реквизитах, в случае его блокировок и закрытия.</w:t>
      </w:r>
    </w:p>
    <w:p w14:paraId="45A0A0C3" w14:textId="1EC40A6C" w:rsidR="00191C93" w:rsidRPr="005F76ED" w:rsidRDefault="00191C93" w:rsidP="005F76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6ED">
        <w:rPr>
          <w:rFonts w:ascii="Times New Roman" w:hAnsi="Times New Roman" w:cs="Times New Roman"/>
          <w:sz w:val="24"/>
          <w:szCs w:val="24"/>
          <w:lang w:eastAsia="ru-RU"/>
        </w:rPr>
        <w:t xml:space="preserve">5.7. Окончание срока действия Акции влечет прекращение обязательств Организатора предоставлять </w:t>
      </w:r>
      <w:r w:rsidRPr="00BE6CDB">
        <w:rPr>
          <w:rFonts w:ascii="Times New Roman" w:hAnsi="Times New Roman" w:cs="Times New Roman"/>
          <w:sz w:val="24"/>
          <w:szCs w:val="24"/>
          <w:lang w:eastAsia="ru-RU"/>
        </w:rPr>
        <w:t xml:space="preserve">«Бонусная программа </w:t>
      </w:r>
      <w:r w:rsidR="00026E68" w:rsidRPr="00BE6CDB">
        <w:rPr>
          <w:rFonts w:ascii="Times New Roman" w:hAnsi="Times New Roman" w:cs="Times New Roman"/>
          <w:sz w:val="24"/>
          <w:szCs w:val="24"/>
          <w:lang w:eastAsia="ru-RU"/>
        </w:rPr>
        <w:t>Застройщика</w:t>
      </w:r>
      <w:r w:rsidRPr="00BE6CDB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5F76ED">
        <w:rPr>
          <w:rFonts w:ascii="Times New Roman" w:hAnsi="Times New Roman" w:cs="Times New Roman"/>
          <w:sz w:val="24"/>
          <w:szCs w:val="24"/>
          <w:lang w:eastAsia="ru-RU"/>
        </w:rPr>
        <w:t>Участникам Акции.</w:t>
      </w:r>
    </w:p>
    <w:p w14:paraId="520024B4" w14:textId="77777777" w:rsidR="00DD677F" w:rsidRPr="00772929" w:rsidRDefault="00DD677F" w:rsidP="005F76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677F" w:rsidRPr="00772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93"/>
    <w:rsid w:val="00011ECA"/>
    <w:rsid w:val="00023DF7"/>
    <w:rsid w:val="00026E68"/>
    <w:rsid w:val="00032FD4"/>
    <w:rsid w:val="000466AD"/>
    <w:rsid w:val="00047BB3"/>
    <w:rsid w:val="00094212"/>
    <w:rsid w:val="000A110D"/>
    <w:rsid w:val="000B557C"/>
    <w:rsid w:val="000D1BF9"/>
    <w:rsid w:val="000F5211"/>
    <w:rsid w:val="000F580E"/>
    <w:rsid w:val="00107119"/>
    <w:rsid w:val="00134343"/>
    <w:rsid w:val="00191C93"/>
    <w:rsid w:val="001A6A61"/>
    <w:rsid w:val="001D2203"/>
    <w:rsid w:val="001D61A1"/>
    <w:rsid w:val="001F03B7"/>
    <w:rsid w:val="00201CDE"/>
    <w:rsid w:val="00202566"/>
    <w:rsid w:val="0021088E"/>
    <w:rsid w:val="00213719"/>
    <w:rsid w:val="0021623A"/>
    <w:rsid w:val="00220E44"/>
    <w:rsid w:val="002260D4"/>
    <w:rsid w:val="0024700C"/>
    <w:rsid w:val="00262C54"/>
    <w:rsid w:val="002675A0"/>
    <w:rsid w:val="002718D4"/>
    <w:rsid w:val="002803B1"/>
    <w:rsid w:val="0029354A"/>
    <w:rsid w:val="002A0C61"/>
    <w:rsid w:val="002A3CFA"/>
    <w:rsid w:val="00304C12"/>
    <w:rsid w:val="003140A7"/>
    <w:rsid w:val="00342042"/>
    <w:rsid w:val="00350918"/>
    <w:rsid w:val="00351AE4"/>
    <w:rsid w:val="003A3B2E"/>
    <w:rsid w:val="003D2EB2"/>
    <w:rsid w:val="003D3C18"/>
    <w:rsid w:val="003E1535"/>
    <w:rsid w:val="003F0C39"/>
    <w:rsid w:val="003F4E5D"/>
    <w:rsid w:val="00434C50"/>
    <w:rsid w:val="004379CF"/>
    <w:rsid w:val="00445561"/>
    <w:rsid w:val="00451961"/>
    <w:rsid w:val="00466E0A"/>
    <w:rsid w:val="00470A0C"/>
    <w:rsid w:val="00496C78"/>
    <w:rsid w:val="004A341A"/>
    <w:rsid w:val="004A5D2A"/>
    <w:rsid w:val="004B4832"/>
    <w:rsid w:val="004C3C78"/>
    <w:rsid w:val="004D538C"/>
    <w:rsid w:val="00505737"/>
    <w:rsid w:val="00531651"/>
    <w:rsid w:val="00531CF1"/>
    <w:rsid w:val="00587473"/>
    <w:rsid w:val="005A4778"/>
    <w:rsid w:val="005C04BE"/>
    <w:rsid w:val="005D645B"/>
    <w:rsid w:val="005E6BB3"/>
    <w:rsid w:val="005E7BDF"/>
    <w:rsid w:val="005F76ED"/>
    <w:rsid w:val="006008DC"/>
    <w:rsid w:val="006353A6"/>
    <w:rsid w:val="00635A0A"/>
    <w:rsid w:val="006441EA"/>
    <w:rsid w:val="00661826"/>
    <w:rsid w:val="006B4027"/>
    <w:rsid w:val="006D026E"/>
    <w:rsid w:val="006D0B39"/>
    <w:rsid w:val="006F779A"/>
    <w:rsid w:val="00706094"/>
    <w:rsid w:val="00710684"/>
    <w:rsid w:val="007340E1"/>
    <w:rsid w:val="007416A6"/>
    <w:rsid w:val="0075099E"/>
    <w:rsid w:val="007553D8"/>
    <w:rsid w:val="00772929"/>
    <w:rsid w:val="00781E32"/>
    <w:rsid w:val="00797D6A"/>
    <w:rsid w:val="007A5A40"/>
    <w:rsid w:val="007A7544"/>
    <w:rsid w:val="007E7A34"/>
    <w:rsid w:val="00825625"/>
    <w:rsid w:val="00845CF0"/>
    <w:rsid w:val="0085343B"/>
    <w:rsid w:val="008612F4"/>
    <w:rsid w:val="0087476E"/>
    <w:rsid w:val="0088458D"/>
    <w:rsid w:val="008910B7"/>
    <w:rsid w:val="0089764E"/>
    <w:rsid w:val="008A53F4"/>
    <w:rsid w:val="008B644C"/>
    <w:rsid w:val="008D0ADD"/>
    <w:rsid w:val="008D5C94"/>
    <w:rsid w:val="008F3523"/>
    <w:rsid w:val="0091630A"/>
    <w:rsid w:val="009267EE"/>
    <w:rsid w:val="00932F3B"/>
    <w:rsid w:val="00941E79"/>
    <w:rsid w:val="00946B66"/>
    <w:rsid w:val="00954F0B"/>
    <w:rsid w:val="00955385"/>
    <w:rsid w:val="00965C78"/>
    <w:rsid w:val="00967680"/>
    <w:rsid w:val="009A542C"/>
    <w:rsid w:val="009A5746"/>
    <w:rsid w:val="009B28E6"/>
    <w:rsid w:val="009C0B80"/>
    <w:rsid w:val="009C0E2A"/>
    <w:rsid w:val="009D6901"/>
    <w:rsid w:val="009D773C"/>
    <w:rsid w:val="009E5BBD"/>
    <w:rsid w:val="009F67C8"/>
    <w:rsid w:val="00A1362A"/>
    <w:rsid w:val="00A14D1D"/>
    <w:rsid w:val="00A204B6"/>
    <w:rsid w:val="00A20632"/>
    <w:rsid w:val="00A2239C"/>
    <w:rsid w:val="00A35610"/>
    <w:rsid w:val="00A50AF9"/>
    <w:rsid w:val="00A53D94"/>
    <w:rsid w:val="00A545D8"/>
    <w:rsid w:val="00A66CB4"/>
    <w:rsid w:val="00A841F1"/>
    <w:rsid w:val="00AA232E"/>
    <w:rsid w:val="00AD74E8"/>
    <w:rsid w:val="00AF0D26"/>
    <w:rsid w:val="00B051D0"/>
    <w:rsid w:val="00B12AEA"/>
    <w:rsid w:val="00B523E0"/>
    <w:rsid w:val="00B55823"/>
    <w:rsid w:val="00BE6CDB"/>
    <w:rsid w:val="00C41857"/>
    <w:rsid w:val="00C50591"/>
    <w:rsid w:val="00C52E7C"/>
    <w:rsid w:val="00C545D6"/>
    <w:rsid w:val="00C645E1"/>
    <w:rsid w:val="00C72D93"/>
    <w:rsid w:val="00C765FC"/>
    <w:rsid w:val="00C767C1"/>
    <w:rsid w:val="00C8284C"/>
    <w:rsid w:val="00CA751C"/>
    <w:rsid w:val="00CD256E"/>
    <w:rsid w:val="00CF0BCC"/>
    <w:rsid w:val="00CF435C"/>
    <w:rsid w:val="00D44A61"/>
    <w:rsid w:val="00D75FEB"/>
    <w:rsid w:val="00D83B37"/>
    <w:rsid w:val="00D8402E"/>
    <w:rsid w:val="00D932EB"/>
    <w:rsid w:val="00DA390A"/>
    <w:rsid w:val="00DB2145"/>
    <w:rsid w:val="00DD4F0E"/>
    <w:rsid w:val="00DD677F"/>
    <w:rsid w:val="00DE3469"/>
    <w:rsid w:val="00DE4AE6"/>
    <w:rsid w:val="00DF3967"/>
    <w:rsid w:val="00E00FA5"/>
    <w:rsid w:val="00E2516C"/>
    <w:rsid w:val="00E60446"/>
    <w:rsid w:val="00E77F37"/>
    <w:rsid w:val="00EA1114"/>
    <w:rsid w:val="00EB137E"/>
    <w:rsid w:val="00EC1DE7"/>
    <w:rsid w:val="00EC617D"/>
    <w:rsid w:val="00F71B11"/>
    <w:rsid w:val="00F734E2"/>
    <w:rsid w:val="00F778B4"/>
    <w:rsid w:val="00F92564"/>
    <w:rsid w:val="00F92DD2"/>
    <w:rsid w:val="00FB0981"/>
    <w:rsid w:val="00FC3ED5"/>
    <w:rsid w:val="00FD6359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717B"/>
  <w15:chartTrackingRefBased/>
  <w15:docId w15:val="{7AFDDB71-A327-4033-BA6C-2CDEF8B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1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C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1C93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1F03B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1F03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1F03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F03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F03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35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35A0A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A66CB4"/>
    <w:pPr>
      <w:spacing w:after="0" w:line="240" w:lineRule="auto"/>
    </w:pPr>
  </w:style>
  <w:style w:type="paragraph" w:styleId="ad">
    <w:name w:val="Revision"/>
    <w:hidden/>
    <w:uiPriority w:val="99"/>
    <w:semiHidden/>
    <w:rsid w:val="00262C54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0A110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A1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group.ru/ek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alongroup.ru/ekb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%20https://etalongroup.ru/ekb//" TargetMode="External"/><Relationship Id="rId5" Type="http://schemas.openxmlformats.org/officeDocument/2006/relationships/hyperlink" Target="https://etalongroup.ru/ek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02FAB-E977-4448-88B5-931A640E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Etalon Group</Company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Иушина Анна Викторовна</dc:creator>
  <cp:keywords/>
  <dc:description/>
  <cp:lastModifiedBy>Зунделевич Елена Александровна</cp:lastModifiedBy>
  <cp:revision>114</cp:revision>
  <cp:lastPrinted>2025-12-02T07:32:00Z</cp:lastPrinted>
  <dcterms:created xsi:type="dcterms:W3CDTF">2025-10-02T09:00:00Z</dcterms:created>
  <dcterms:modified xsi:type="dcterms:W3CDTF">2026-02-03T10:47:00Z</dcterms:modified>
</cp:coreProperties>
</file>